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A32DD22" w:rsidR="00093CA9" w:rsidRDefault="000B730C" w:rsidP="00093CA9">
            <w:r w:rsidRPr="000B730C">
              <w:t>Cleary Gottlieb Steen &amp; Hamilton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F13994B" w:rsidR="00093CA9" w:rsidRDefault="00F3585C" w:rsidP="00093CA9">
            <w:r w:rsidRPr="00F3585C">
              <w:t>Directive (EU) 2016/2341 of the European Parliament and of the Council of 14 December 2016 on the activities and supervision of institutions for occupational retirement provision (IORPs) (“</w:t>
            </w:r>
            <w:bookmarkStart w:id="1" w:name="_Hlk203127565"/>
            <w:r w:rsidRPr="00262235">
              <w:rPr>
                <w:b/>
                <w:bCs/>
              </w:rPr>
              <w:t>IORP II</w:t>
            </w:r>
            <w:bookmarkEnd w:id="1"/>
            <w:r w:rsidRPr="00F3585C">
              <w:t>”)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998ACC3" w:rsidR="00093CA9" w:rsidRDefault="00000000" w:rsidP="00093CA9">
            <w:hyperlink r:id="rId17" w:history="1">
              <w:r w:rsidR="00B86E26" w:rsidRPr="003E512C">
                <w:rPr>
                  <w:rStyle w:val="Hyperlink"/>
                </w:rPr>
                <w:t>https://eur-lex.europa.eu/legal-content/EN/TXT/?uri=CELEX%3A02016L2341-20250117</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23690CA" w:rsidR="00093CA9" w:rsidRDefault="00AF2C89"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46CEFC1" w:rsidR="00093CA9" w:rsidRDefault="00AF2C89"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3F43FAA0"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ts which are being surveyed or is known more colloquially by another name.</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5374B20" w14:textId="4064ED23" w:rsidR="004B196A" w:rsidRDefault="004B196A" w:rsidP="004B196A">
            <w:r>
              <w:t>IORP II details that EU Member States should require IORPs to:</w:t>
            </w:r>
          </w:p>
          <w:p w14:paraId="6EBF61A1" w14:textId="0138846A" w:rsidR="004B196A" w:rsidRDefault="004B196A" w:rsidP="00A45BBC">
            <w:pPr>
              <w:pStyle w:val="ListParagraph"/>
              <w:numPr>
                <w:ilvl w:val="0"/>
                <w:numId w:val="55"/>
              </w:numPr>
            </w:pPr>
            <w:r>
              <w:t xml:space="preserve">explicitly </w:t>
            </w:r>
            <w:r w:rsidRPr="004B196A">
              <w:rPr>
                <w:b/>
                <w:bCs/>
              </w:rPr>
              <w:t>disclose</w:t>
            </w:r>
            <w:r>
              <w:t xml:space="preserve"> where ESG factors are considered in investment decisions and how they form part of their risk management system;</w:t>
            </w:r>
          </w:p>
          <w:p w14:paraId="3DB1A00F" w14:textId="77777777" w:rsidR="004B196A" w:rsidRDefault="004B196A" w:rsidP="00A45BBC">
            <w:pPr>
              <w:pStyle w:val="ListParagraph"/>
              <w:numPr>
                <w:ilvl w:val="0"/>
                <w:numId w:val="55"/>
              </w:numPr>
            </w:pPr>
            <w:r>
              <w:t xml:space="preserve">operate an effective </w:t>
            </w:r>
            <w:r w:rsidRPr="00A45BBC">
              <w:rPr>
                <w:b/>
                <w:bCs/>
              </w:rPr>
              <w:t>governance</w:t>
            </w:r>
            <w:r w:rsidRPr="00A45BBC">
              <w:t xml:space="preserve"> system</w:t>
            </w:r>
            <w:r>
              <w:t xml:space="preserve"> that provides sound and prudent management of their activities and that specifically includes consideration of ESG factors related to investment assets in investment decisions, and which is subject to regular internal review;</w:t>
            </w:r>
          </w:p>
          <w:p w14:paraId="1162133D" w14:textId="2F8D4EEA" w:rsidR="004B196A" w:rsidRDefault="004B196A" w:rsidP="00A45BBC">
            <w:pPr>
              <w:pStyle w:val="ListParagraph"/>
              <w:numPr>
                <w:ilvl w:val="0"/>
                <w:numId w:val="55"/>
              </w:numPr>
            </w:pPr>
            <w:r>
              <w:t xml:space="preserve">have a </w:t>
            </w:r>
            <w:r w:rsidRPr="00A45BBC">
              <w:rPr>
                <w:b/>
                <w:bCs/>
              </w:rPr>
              <w:t>risk-management</w:t>
            </w:r>
            <w:r w:rsidRPr="00A45BBC">
              <w:t xml:space="preserve"> system</w:t>
            </w:r>
            <w:r>
              <w:t xml:space="preserve"> that covers ESG risks relating to the investment portfolio and the management thereof;</w:t>
            </w:r>
            <w:r w:rsidR="00A45BBC">
              <w:t xml:space="preserve"> and</w:t>
            </w:r>
          </w:p>
          <w:p w14:paraId="18257824" w14:textId="3C621674" w:rsidR="00A45BBC" w:rsidRDefault="004B196A" w:rsidP="00A45BBC">
            <w:pPr>
              <w:pStyle w:val="ListParagraph"/>
              <w:numPr>
                <w:ilvl w:val="0"/>
                <w:numId w:val="55"/>
              </w:numPr>
            </w:pPr>
            <w:r>
              <w:t xml:space="preserve">document their </w:t>
            </w:r>
            <w:r w:rsidRPr="00A45BBC">
              <w:rPr>
                <w:b/>
                <w:bCs/>
              </w:rPr>
              <w:t>own risk assessments</w:t>
            </w:r>
            <w:r>
              <w:t xml:space="preserve"> and ensure that there is an assessment of new or emerging risks, including risks related to climate change, use of resources and the environment, social risks and risks related to the depreciation of assets due to regulatory change where ESG factors are considered in investment decisions</w:t>
            </w:r>
            <w:r w:rsidR="00A45BBC">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F2A881B" w:rsidR="00093CA9" w:rsidRDefault="0091694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F8F63F5"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280ECD2" w:rsidR="00093CA9" w:rsidRPr="00173D7C" w:rsidRDefault="008F0B3C" w:rsidP="00093CA9">
            <w:pPr>
              <w:rPr>
                <w:color w:val="000000" w:themeColor="text1"/>
              </w:rPr>
            </w:pPr>
            <w:r w:rsidRPr="008F0B3C">
              <w:rPr>
                <w:color w:val="000000" w:themeColor="text1"/>
              </w:rPr>
              <w:t>The directive entered into force on 12 January 2017</w:t>
            </w:r>
            <w:r w:rsidR="00BE70A6">
              <w:rPr>
                <w:color w:val="000000" w:themeColor="text1"/>
              </w:rPr>
              <w:t xml:space="preserve"> (</w:t>
            </w:r>
            <w:r w:rsidR="00BE70A6" w:rsidRPr="00BE70A6">
              <w:rPr>
                <w:color w:val="000000" w:themeColor="text1"/>
              </w:rPr>
              <w:t>Art</w:t>
            </w:r>
            <w:r w:rsidR="00BE70A6">
              <w:rPr>
                <w:color w:val="000000" w:themeColor="text1"/>
              </w:rPr>
              <w:t>icle</w:t>
            </w:r>
            <w:r w:rsidR="00BE70A6" w:rsidRPr="00BE70A6">
              <w:rPr>
                <w:color w:val="000000" w:themeColor="text1"/>
              </w:rPr>
              <w:t xml:space="preserve"> 66</w:t>
            </w:r>
            <w:r w:rsidR="00BE70A6">
              <w:rPr>
                <w:color w:val="000000" w:themeColor="text1"/>
              </w:rPr>
              <w:t>)</w:t>
            </w:r>
            <w:r w:rsidRPr="008F0B3C">
              <w:rPr>
                <w:color w:val="000000" w:themeColor="text1"/>
              </w:rPr>
              <w:t>.</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8F0B3C" w:rsidRPr="00173D7C" w14:paraId="4CE2A386" w14:textId="77777777" w:rsidTr="2452D0D6">
        <w:trPr>
          <w:trHeight w:val="533"/>
        </w:trPr>
        <w:tc>
          <w:tcPr>
            <w:tcW w:w="1063" w:type="dxa"/>
            <w:vAlign w:val="center"/>
          </w:tcPr>
          <w:p w14:paraId="47C7E613" w14:textId="77777777" w:rsidR="008F0B3C" w:rsidRPr="00173D7C" w:rsidRDefault="008F0B3C" w:rsidP="008F0B3C">
            <w:pPr>
              <w:rPr>
                <w:color w:val="000000" w:themeColor="text1"/>
              </w:rPr>
            </w:pPr>
          </w:p>
        </w:tc>
        <w:tc>
          <w:tcPr>
            <w:tcW w:w="9169" w:type="dxa"/>
            <w:gridSpan w:val="4"/>
            <w:shd w:val="clear" w:color="auto" w:fill="auto"/>
            <w:vAlign w:val="center"/>
          </w:tcPr>
          <w:p w14:paraId="5AD2325B" w14:textId="4A27A83D" w:rsidR="008F0B3C" w:rsidRPr="00173D7C" w:rsidRDefault="00A810B1" w:rsidP="00A810B1">
            <w:pPr>
              <w:rPr>
                <w:color w:val="000000" w:themeColor="text1"/>
              </w:rPr>
            </w:pPr>
            <w:r w:rsidRPr="00A810B1">
              <w:rPr>
                <w:color w:val="000000" w:themeColor="text1"/>
              </w:rPr>
              <w:t xml:space="preserve">It was transposed into EU countries before </w:t>
            </w:r>
            <w:r>
              <w:rPr>
                <w:color w:val="000000" w:themeColor="text1"/>
              </w:rPr>
              <w:t xml:space="preserve">13 </w:t>
            </w:r>
            <w:r w:rsidRPr="00A810B1">
              <w:rPr>
                <w:color w:val="000000" w:themeColor="text1"/>
              </w:rPr>
              <w:t>January 2019</w:t>
            </w:r>
            <w:r w:rsidR="00BE70A6">
              <w:rPr>
                <w:color w:val="000000" w:themeColor="text1"/>
              </w:rPr>
              <w:t xml:space="preserve"> (</w:t>
            </w:r>
            <w:r w:rsidR="00BE70A6" w:rsidRPr="00BE70A6">
              <w:rPr>
                <w:color w:val="000000" w:themeColor="text1"/>
              </w:rPr>
              <w:t>Ar</w:t>
            </w:r>
            <w:r w:rsidR="00BE70A6">
              <w:rPr>
                <w:color w:val="000000" w:themeColor="text1"/>
              </w:rPr>
              <w:t>ticle</w:t>
            </w:r>
            <w:r w:rsidR="00BE70A6" w:rsidRPr="00BE70A6">
              <w:rPr>
                <w:color w:val="000000" w:themeColor="text1"/>
              </w:rPr>
              <w:t xml:space="preserve"> 64.1</w:t>
            </w:r>
            <w:r w:rsidR="00BE70A6">
              <w:rPr>
                <w:color w:val="000000" w:themeColor="text1"/>
              </w:rPr>
              <w:t>)</w:t>
            </w:r>
            <w:r w:rsidRPr="00A810B1">
              <w:rPr>
                <w:color w:val="000000" w:themeColor="text1"/>
              </w:rPr>
              <w:t xml:space="preserve">, and applies </w:t>
            </w:r>
            <w:r w:rsidR="00347282" w:rsidRPr="00347282">
              <w:rPr>
                <w:color w:val="000000" w:themeColor="text1"/>
              </w:rPr>
              <w:t>from the date of national transposition</w:t>
            </w:r>
            <w:r w:rsidRPr="00A810B1">
              <w:rPr>
                <w:color w:val="000000" w:themeColor="text1"/>
              </w:rPr>
              <w:t>.</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1C81EDE" w:rsidR="00093CA9" w:rsidRDefault="00AB7AE4"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5CBD4DF" w:rsidR="00093CA9" w:rsidRPr="006B7B0D" w:rsidRDefault="003825F5" w:rsidP="003825F5">
            <w:r>
              <w:t>The European Insurance and Occupational Pensions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3825F5" w:rsidRPr="006B7B0D" w14:paraId="68784F43" w14:textId="77777777" w:rsidTr="2452D0D6">
        <w:trPr>
          <w:trHeight w:val="63"/>
        </w:trPr>
        <w:tc>
          <w:tcPr>
            <w:tcW w:w="1063" w:type="dxa"/>
            <w:vAlign w:val="center"/>
          </w:tcPr>
          <w:p w14:paraId="5EFE7F7F" w14:textId="77777777" w:rsidR="003825F5" w:rsidRPr="006B7B0D" w:rsidRDefault="003825F5" w:rsidP="003825F5">
            <w:r w:rsidRPr="006B7B0D">
              <w:t>14.1.1.4</w:t>
            </w:r>
          </w:p>
        </w:tc>
        <w:tc>
          <w:tcPr>
            <w:tcW w:w="4771" w:type="dxa"/>
            <w:gridSpan w:val="3"/>
            <w:shd w:val="clear" w:color="auto" w:fill="E2EFD9" w:themeFill="accent6" w:themeFillTint="33"/>
            <w:vAlign w:val="center"/>
          </w:tcPr>
          <w:p w14:paraId="646E129C" w14:textId="55F21181" w:rsidR="003825F5" w:rsidRPr="006B7B0D" w:rsidRDefault="003825F5" w:rsidP="003825F5">
            <w:r w:rsidRPr="006B7B0D">
              <w:t>High capacity</w:t>
            </w:r>
          </w:p>
        </w:tc>
        <w:tc>
          <w:tcPr>
            <w:tcW w:w="4398" w:type="dxa"/>
            <w:vAlign w:val="center"/>
          </w:tcPr>
          <w:p w14:paraId="6DCCE4F4" w14:textId="1F318414" w:rsidR="003825F5" w:rsidRPr="006B7B0D" w:rsidRDefault="003825F5" w:rsidP="003825F5">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3825F5" w:rsidRPr="006B7B0D" w14:paraId="7D26AF05" w14:textId="77777777" w:rsidTr="2452D0D6">
        <w:trPr>
          <w:trHeight w:val="533"/>
        </w:trPr>
        <w:tc>
          <w:tcPr>
            <w:tcW w:w="1063" w:type="dxa"/>
            <w:vAlign w:val="center"/>
          </w:tcPr>
          <w:p w14:paraId="2061516D" w14:textId="77777777" w:rsidR="003825F5" w:rsidRPr="006B7B0D" w:rsidRDefault="003825F5" w:rsidP="003825F5">
            <w:pPr>
              <w:rPr>
                <w:b/>
                <w:bCs/>
              </w:rPr>
            </w:pPr>
          </w:p>
        </w:tc>
        <w:tc>
          <w:tcPr>
            <w:tcW w:w="9169" w:type="dxa"/>
            <w:gridSpan w:val="4"/>
            <w:vAlign w:val="center"/>
          </w:tcPr>
          <w:p w14:paraId="507D976A" w14:textId="5938D99D" w:rsidR="003825F5" w:rsidRPr="00BD7EC3" w:rsidRDefault="00AE2C72" w:rsidP="00BD7EC3">
            <w:r>
              <w:t>The n</w:t>
            </w:r>
            <w:r w:rsidR="00BD7EC3">
              <w:t>ational authorities designated to carry out the duties provided for in this Directive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3825F5" w:rsidRPr="006B7B0D" w14:paraId="18F660AB" w14:textId="77777777" w:rsidTr="2452D0D6">
        <w:trPr>
          <w:trHeight w:val="63"/>
        </w:trPr>
        <w:tc>
          <w:tcPr>
            <w:tcW w:w="1063" w:type="dxa"/>
            <w:vAlign w:val="center"/>
          </w:tcPr>
          <w:p w14:paraId="003BCF38" w14:textId="77777777" w:rsidR="003825F5" w:rsidRPr="006B7B0D" w:rsidRDefault="003825F5" w:rsidP="003825F5">
            <w:r w:rsidRPr="006B7B0D">
              <w:t>14.2.1.3</w:t>
            </w:r>
          </w:p>
        </w:tc>
        <w:tc>
          <w:tcPr>
            <w:tcW w:w="4771" w:type="dxa"/>
            <w:gridSpan w:val="3"/>
            <w:shd w:val="clear" w:color="auto" w:fill="E2EFD9" w:themeFill="accent6" w:themeFillTint="33"/>
            <w:vAlign w:val="center"/>
          </w:tcPr>
          <w:p w14:paraId="118940DB" w14:textId="11A790A1" w:rsidR="003825F5" w:rsidRPr="006B7B0D" w:rsidRDefault="003825F5" w:rsidP="003825F5">
            <w:r w:rsidRPr="006B7B0D">
              <w:t>Medium capacity</w:t>
            </w:r>
          </w:p>
        </w:tc>
        <w:tc>
          <w:tcPr>
            <w:tcW w:w="4398" w:type="dxa"/>
            <w:shd w:val="clear" w:color="auto" w:fill="auto"/>
            <w:vAlign w:val="center"/>
          </w:tcPr>
          <w:p w14:paraId="5989DD29" w14:textId="646421F0" w:rsidR="003825F5" w:rsidRPr="006B7B0D" w:rsidRDefault="003825F5" w:rsidP="003825F5">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AE2C72" w14:paraId="50F2DDFC" w14:textId="77777777" w:rsidTr="2452D0D6">
        <w:trPr>
          <w:trHeight w:val="1020"/>
        </w:trPr>
        <w:tc>
          <w:tcPr>
            <w:tcW w:w="1063" w:type="dxa"/>
            <w:vAlign w:val="center"/>
          </w:tcPr>
          <w:p w14:paraId="6B62A7E8" w14:textId="77777777" w:rsidR="00AE2C72" w:rsidRDefault="00AE2C72" w:rsidP="00AE2C72"/>
        </w:tc>
        <w:tc>
          <w:tcPr>
            <w:tcW w:w="9169" w:type="dxa"/>
            <w:gridSpan w:val="4"/>
            <w:shd w:val="clear" w:color="auto" w:fill="auto"/>
            <w:vAlign w:val="center"/>
          </w:tcPr>
          <w:p w14:paraId="68904834" w14:textId="42FB7C14" w:rsidR="00A65D42" w:rsidRDefault="00AE2C72" w:rsidP="00AE2C72">
            <w:r>
              <w:t>The European Insurance and Occupational Pensions Authority</w:t>
            </w:r>
            <w:r w:rsidR="00A65D42">
              <w:t>:</w:t>
            </w:r>
          </w:p>
          <w:p w14:paraId="1989E670" w14:textId="77777777" w:rsidR="00A65D42" w:rsidRDefault="00AE2C72" w:rsidP="00A65D42">
            <w:pPr>
              <w:pStyle w:val="ListParagraph"/>
              <w:numPr>
                <w:ilvl w:val="0"/>
                <w:numId w:val="52"/>
              </w:numPr>
            </w:pPr>
            <w:r>
              <w:t>helps cooperation between national authorities, and</w:t>
            </w:r>
          </w:p>
          <w:p w14:paraId="1ECF1C45" w14:textId="7F346EC1" w:rsidR="00AE2C72" w:rsidRDefault="00AE2C72" w:rsidP="00A65D42">
            <w:pPr>
              <w:pStyle w:val="ListParagraph"/>
              <w:numPr>
                <w:ilvl w:val="0"/>
                <w:numId w:val="52"/>
              </w:numPr>
            </w:pPr>
            <w:r>
              <w:t>ensures consistent application of EU insurance and occupational pensions legislation.</w:t>
            </w:r>
          </w:p>
          <w:p w14:paraId="5482C08A" w14:textId="77777777" w:rsidR="00A65D42" w:rsidRDefault="00A65D42" w:rsidP="00A65D42">
            <w:r>
              <w:t>The relevant national authorities in the EU countries:</w:t>
            </w:r>
          </w:p>
          <w:p w14:paraId="1C507550" w14:textId="77777777" w:rsidR="00A65D42" w:rsidRDefault="00A65D42" w:rsidP="00A65D42">
            <w:pPr>
              <w:pStyle w:val="ListParagraph"/>
              <w:numPr>
                <w:ilvl w:val="0"/>
                <w:numId w:val="53"/>
              </w:numPr>
            </w:pPr>
            <w:r>
              <w:t>must have the resources necessary to exercise the prudential supervision;</w:t>
            </w:r>
          </w:p>
          <w:p w14:paraId="586BCCFD" w14:textId="77777777" w:rsidR="00A65D42" w:rsidRDefault="00A65D42" w:rsidP="00A65D42">
            <w:pPr>
              <w:pStyle w:val="ListParagraph"/>
              <w:numPr>
                <w:ilvl w:val="0"/>
                <w:numId w:val="53"/>
              </w:numPr>
            </w:pPr>
            <w:r>
              <w:t>require IORPs to have sound administrative, accounting and internal control mechanisms;</w:t>
            </w:r>
          </w:p>
          <w:p w14:paraId="1BB3BF4C" w14:textId="77777777" w:rsidR="00A65D42" w:rsidRDefault="00A65D42" w:rsidP="00A65D42">
            <w:pPr>
              <w:pStyle w:val="ListParagraph"/>
              <w:numPr>
                <w:ilvl w:val="0"/>
                <w:numId w:val="53"/>
              </w:numPr>
            </w:pPr>
            <w:r>
              <w:t>may impose administrative and other penalties for any breaches of legislation;</w:t>
            </w:r>
          </w:p>
          <w:p w14:paraId="7C0766B1" w14:textId="77777777" w:rsidR="00A65D42" w:rsidRDefault="00A65D42" w:rsidP="00A65D42">
            <w:pPr>
              <w:pStyle w:val="ListParagraph"/>
              <w:numPr>
                <w:ilvl w:val="0"/>
                <w:numId w:val="53"/>
              </w:numPr>
            </w:pPr>
            <w:r>
              <w:t>have the power to review an IORP’s strategies, processes and reporting procedures, obtain internal documents they may require and conduct on-site inspections; and</w:t>
            </w:r>
          </w:p>
          <w:p w14:paraId="023392B4" w14:textId="77777777" w:rsidR="00AE2C72" w:rsidRDefault="00A65D42" w:rsidP="00A65D42">
            <w:pPr>
              <w:pStyle w:val="ListParagraph"/>
              <w:numPr>
                <w:ilvl w:val="0"/>
                <w:numId w:val="53"/>
              </w:numPr>
            </w:pPr>
            <w:r>
              <w:t>may exchange information with each other and monetary authorities without violating professional secrecy conditions.</w:t>
            </w:r>
          </w:p>
          <w:p w14:paraId="42D06D03" w14:textId="5DB87C00" w:rsidR="00EB0D7E" w:rsidRPr="00A65D42" w:rsidRDefault="00EB0D7E" w:rsidP="00EB0D7E">
            <w:r w:rsidRPr="00EB0D7E">
              <w:t xml:space="preserve">Member States are required to </w:t>
            </w:r>
            <w:r w:rsidR="00DF10A1">
              <w:t>impose administrative and other penalties for any breaches of legislation</w:t>
            </w:r>
            <w:r w:rsidRPr="00EB0D7E">
              <w:t>. As such, they will be enforced by national authorities (see Q</w:t>
            </w:r>
            <w:r>
              <w:t>1.10</w:t>
            </w:r>
            <w:r w:rsidRPr="00EB0D7E">
              <w:t xml:space="preserve"> for details). </w:t>
            </w:r>
            <w:r>
              <w:t>A</w:t>
            </w:r>
            <w:r w:rsidRPr="00EB0D7E">
              <w:t>ctual enforcement depends on the capacity and prioritisation of national</w:t>
            </w:r>
            <w:r w:rsidR="003E7E83">
              <w:t xml:space="preserve"> </w:t>
            </w:r>
            <w:r w:rsidRPr="00EB0D7E">
              <w:t>authorities. Capacity therefore may be medium and not optimal.</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3825F5" w14:paraId="461D4D38" w14:textId="77777777" w:rsidTr="2452D0D6">
        <w:trPr>
          <w:trHeight w:val="57"/>
        </w:trPr>
        <w:tc>
          <w:tcPr>
            <w:tcW w:w="1063" w:type="dxa"/>
            <w:vAlign w:val="center"/>
          </w:tcPr>
          <w:p w14:paraId="776158BC" w14:textId="77777777" w:rsidR="003825F5" w:rsidRDefault="003825F5" w:rsidP="003825F5">
            <w:r>
              <w:t>16.2</w:t>
            </w:r>
          </w:p>
        </w:tc>
        <w:tc>
          <w:tcPr>
            <w:tcW w:w="4686" w:type="dxa"/>
            <w:gridSpan w:val="2"/>
            <w:shd w:val="clear" w:color="auto" w:fill="E2EFD9" w:themeFill="accent6" w:themeFillTint="33"/>
            <w:vAlign w:val="center"/>
          </w:tcPr>
          <w:p w14:paraId="6C9616DC" w14:textId="5883601E" w:rsidR="003825F5" w:rsidRDefault="003825F5" w:rsidP="003825F5">
            <w:r>
              <w:t>Yes</w:t>
            </w:r>
          </w:p>
        </w:tc>
        <w:tc>
          <w:tcPr>
            <w:tcW w:w="4483" w:type="dxa"/>
            <w:gridSpan w:val="2"/>
            <w:shd w:val="clear" w:color="auto" w:fill="auto"/>
            <w:vAlign w:val="center"/>
          </w:tcPr>
          <w:p w14:paraId="54F7EBC8" w14:textId="430B507D" w:rsidR="003825F5" w:rsidRDefault="003825F5" w:rsidP="003825F5">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3825F5" w:rsidRPr="008017F9" w14:paraId="0F291701" w14:textId="77777777" w:rsidTr="2452D0D6">
        <w:trPr>
          <w:trHeight w:val="1020"/>
        </w:trPr>
        <w:tc>
          <w:tcPr>
            <w:tcW w:w="1063" w:type="dxa"/>
            <w:vAlign w:val="center"/>
          </w:tcPr>
          <w:p w14:paraId="08EDF6C9" w14:textId="77777777" w:rsidR="003825F5" w:rsidRDefault="003825F5" w:rsidP="003825F5"/>
        </w:tc>
        <w:tc>
          <w:tcPr>
            <w:tcW w:w="9169" w:type="dxa"/>
            <w:gridSpan w:val="4"/>
            <w:shd w:val="clear" w:color="auto" w:fill="auto"/>
            <w:vAlign w:val="center"/>
          </w:tcPr>
          <w:p w14:paraId="370F0B58" w14:textId="7D80BF4B" w:rsidR="003825F5" w:rsidRDefault="00A65D42" w:rsidP="003825F5">
            <w:pPr>
              <w:keepNext/>
            </w:pPr>
            <w:r w:rsidRPr="00A65D42">
              <w:t xml:space="preserve">The European Commission </w:t>
            </w:r>
            <w:r w:rsidR="00BE2BBC">
              <w:t>shall report</w:t>
            </w:r>
            <w:r w:rsidRPr="00A65D42">
              <w:t xml:space="preserve"> to the European Parliament and to the Council on the </w:t>
            </w:r>
            <w:r w:rsidR="000666DC" w:rsidRPr="00A65D42">
              <w:rPr>
                <w:color w:val="000000" w:themeColor="text1"/>
              </w:rPr>
              <w:t>implementation and effectiveness</w:t>
            </w:r>
            <w:r w:rsidRPr="00A65D42">
              <w:t xml:space="preserve"> of the legislation by 13 January 2023</w:t>
            </w:r>
            <w:r>
              <w:t xml:space="preserve"> (Article 62)</w:t>
            </w:r>
            <w:r w:rsidRPr="00A65D42">
              <w:t>.</w:t>
            </w:r>
          </w:p>
          <w:p w14:paraId="0119F71A" w14:textId="115DED5A" w:rsidR="00A65D42" w:rsidRPr="00A65D42" w:rsidRDefault="00A65D42" w:rsidP="00A65D42">
            <w:pPr>
              <w:keepNext/>
              <w:rPr>
                <w:color w:val="000000" w:themeColor="text1"/>
              </w:rPr>
            </w:pPr>
            <w:r w:rsidRPr="00A65D42">
              <w:rPr>
                <w:color w:val="000000" w:themeColor="text1"/>
              </w:rPr>
              <w:t>The review consider</w:t>
            </w:r>
            <w:r w:rsidR="000666DC">
              <w:rPr>
                <w:color w:val="000000" w:themeColor="text1"/>
              </w:rPr>
              <w:t>s</w:t>
            </w:r>
            <w:r w:rsidR="000666DC" w:rsidRPr="00A65D42">
              <w:rPr>
                <w:color w:val="000000" w:themeColor="text1"/>
              </w:rPr>
              <w:t xml:space="preserve"> in particular</w:t>
            </w:r>
            <w:r w:rsidRPr="00A65D42">
              <w:rPr>
                <w:color w:val="000000" w:themeColor="text1"/>
              </w:rPr>
              <w:t>:</w:t>
            </w:r>
          </w:p>
          <w:p w14:paraId="71A97EE6" w14:textId="77777777" w:rsidR="000666DC" w:rsidRDefault="00A65D42" w:rsidP="000666DC">
            <w:pPr>
              <w:pStyle w:val="ListParagraph"/>
              <w:keepNext/>
              <w:numPr>
                <w:ilvl w:val="0"/>
                <w:numId w:val="53"/>
              </w:numPr>
              <w:rPr>
                <w:color w:val="000000" w:themeColor="text1"/>
              </w:rPr>
            </w:pPr>
            <w:r w:rsidRPr="000666DC">
              <w:rPr>
                <w:color w:val="000000" w:themeColor="text1"/>
              </w:rPr>
              <w:t>the adequacy of this Directive from a prudential and governance point of view;</w:t>
            </w:r>
          </w:p>
          <w:p w14:paraId="61655580" w14:textId="77777777" w:rsidR="000666DC" w:rsidRDefault="00A65D42" w:rsidP="000666DC">
            <w:pPr>
              <w:pStyle w:val="ListParagraph"/>
              <w:keepNext/>
              <w:numPr>
                <w:ilvl w:val="0"/>
                <w:numId w:val="53"/>
              </w:numPr>
              <w:rPr>
                <w:color w:val="000000" w:themeColor="text1"/>
              </w:rPr>
            </w:pPr>
            <w:r w:rsidRPr="000666DC">
              <w:rPr>
                <w:color w:val="000000" w:themeColor="text1"/>
              </w:rPr>
              <w:t>cross-border activity;</w:t>
            </w:r>
          </w:p>
          <w:p w14:paraId="27BF6976" w14:textId="3CE8647C" w:rsidR="000666DC" w:rsidRDefault="00A65D42" w:rsidP="000666DC">
            <w:pPr>
              <w:pStyle w:val="ListParagraph"/>
              <w:keepNext/>
              <w:numPr>
                <w:ilvl w:val="0"/>
                <w:numId w:val="53"/>
              </w:numPr>
              <w:rPr>
                <w:color w:val="000000" w:themeColor="text1"/>
              </w:rPr>
            </w:pPr>
            <w:r w:rsidRPr="000666DC">
              <w:rPr>
                <w:color w:val="000000" w:themeColor="text1"/>
              </w:rPr>
              <w:t>the experience acquired in applying this Directive and its impact on the stability of IORPs;</w:t>
            </w:r>
            <w:r w:rsidR="000666DC">
              <w:rPr>
                <w:color w:val="000000" w:themeColor="text1"/>
              </w:rPr>
              <w:t xml:space="preserve"> and</w:t>
            </w:r>
          </w:p>
          <w:p w14:paraId="24409047" w14:textId="77777777" w:rsidR="00A65D42" w:rsidRDefault="00A65D42" w:rsidP="000666DC">
            <w:pPr>
              <w:pStyle w:val="ListParagraph"/>
              <w:keepNext/>
              <w:numPr>
                <w:ilvl w:val="0"/>
                <w:numId w:val="53"/>
              </w:numPr>
              <w:rPr>
                <w:color w:val="000000" w:themeColor="text1"/>
              </w:rPr>
            </w:pPr>
            <w:r w:rsidRPr="000666DC">
              <w:rPr>
                <w:color w:val="000000" w:themeColor="text1"/>
              </w:rPr>
              <w:t>the Pension Benefit Statement.</w:t>
            </w:r>
          </w:p>
          <w:p w14:paraId="19745189" w14:textId="77777777" w:rsidR="00EE1574" w:rsidRPr="00EE1574" w:rsidRDefault="00EE1574" w:rsidP="00EE1574">
            <w:pPr>
              <w:spacing w:line="276" w:lineRule="auto"/>
              <w:rPr>
                <w:rFonts w:ascii="Calibri" w:hAnsi="Calibri" w:cs="Calibri"/>
              </w:rPr>
            </w:pPr>
            <w:r w:rsidRPr="00EE1574">
              <w:rPr>
                <w:rFonts w:ascii="Calibri" w:hAnsi="Calibri" w:cs="Calibri"/>
              </w:rPr>
              <w:t>The Commission issued a call for technical advice to EIOPA. EIOPA published its “</w:t>
            </w:r>
            <w:hyperlink r:id="rId18" w:history="1">
              <w:r w:rsidRPr="00EE1574">
                <w:rPr>
                  <w:rStyle w:val="Hyperlink"/>
                  <w:rFonts w:ascii="Calibri" w:hAnsi="Calibri" w:cs="Calibri"/>
                </w:rPr>
                <w:t>Technical advice for the review of the IORP II Directive</w:t>
              </w:r>
            </w:hyperlink>
            <w:r w:rsidRPr="00EE1574">
              <w:rPr>
                <w:rFonts w:ascii="Calibri" w:hAnsi="Calibri" w:cs="Calibri"/>
              </w:rPr>
              <w:t>” on 28 September 2023.</w:t>
            </w:r>
          </w:p>
          <w:p w14:paraId="2C2128DB" w14:textId="1E68AAA5" w:rsidR="00EE1574" w:rsidRPr="00EE1574" w:rsidRDefault="00EE1574" w:rsidP="00EE1574">
            <w:pPr>
              <w:keepNext/>
              <w:rPr>
                <w:color w:val="000000" w:themeColor="text1"/>
              </w:rPr>
            </w:pPr>
            <w:r w:rsidRPr="0082166B">
              <w:rPr>
                <w:rFonts w:ascii="Calibri" w:hAnsi="Calibri" w:cs="Calibri"/>
              </w:rPr>
              <w:t>The Commission started preliminary work on the IORP II Directive review but will issue its proposal during the 2024-2029 EC mandate given the delay in the transposition process in some countries.</w:t>
            </w:r>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lastRenderedPageBreak/>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646217C" w:rsidR="00CF5268" w:rsidRDefault="00DB2336"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2B7F74BB" w:rsidR="00CF5268" w:rsidRDefault="00DB2336"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1A9AC6BF" w:rsidR="00CF5268" w:rsidRDefault="00DB3C68"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53ADE5E0" w:rsidR="00CF5268" w:rsidRDefault="00DB2336"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158A834" w:rsidR="00CF5268" w:rsidRDefault="00DB2336"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139A6F6" w:rsidR="466E435B" w:rsidRDefault="00DB2336"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BC6FD91" w:rsidR="00CF5268" w:rsidRDefault="00DB2336"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FA611F" w:rsidR="466E435B" w:rsidRDefault="00DB2336"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F6C93A4" w:rsidR="466E435B" w:rsidRDefault="00DB2336"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368C8F5" w:rsidR="466E435B" w:rsidRDefault="00DB2336"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5F21255" w:rsidR="466E435B" w:rsidRDefault="00DB2336"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32B60A9D" w:rsidR="00CF5268" w:rsidRDefault="00DB2336"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CC20AAC" w:rsidR="00CF5268" w:rsidRDefault="00DB2336"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0B200F9A" w:rsidR="004B2D74" w:rsidRDefault="00DB2336"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68033360" w:rsidR="004B2D74" w:rsidRDefault="00DB2336"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5DD6DF10" w:rsidR="004B2D74" w:rsidRDefault="00DB2336"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173845F4" w:rsidR="004B2D74" w:rsidRDefault="00DB2336"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3EC75671" w:rsidR="004B2D74" w:rsidRDefault="00DB3C68"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64E04CA6" w:rsidR="004B2D74" w:rsidRDefault="00DB2336"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6B3E15AA" w:rsidR="0039223F" w:rsidRPr="00250ED3" w:rsidRDefault="00727E11" w:rsidP="00250ED3">
            <w:pPr>
              <w:rPr>
                <w:rFonts w:ascii="Calibri" w:hAnsi="Calibri" w:cs="Calibri"/>
                <w:i/>
                <w:iCs/>
              </w:rPr>
            </w:pPr>
            <w:r>
              <w:rPr>
                <w:rFonts w:ascii="Calibri" w:hAnsi="Calibri" w:cs="Calibri"/>
              </w:rPr>
              <w:t xml:space="preserve">The </w:t>
            </w:r>
            <w:r w:rsidR="0027796A">
              <w:rPr>
                <w:rFonts w:ascii="Calibri" w:hAnsi="Calibri" w:cs="Calibri"/>
              </w:rPr>
              <w:t xml:space="preserve">IORP II </w:t>
            </w:r>
            <w:r>
              <w:rPr>
                <w:rFonts w:ascii="Calibri" w:hAnsi="Calibri" w:cs="Calibri"/>
              </w:rPr>
              <w:t>Directive applies to institutions for occupational retirement provision (IORP</w:t>
            </w:r>
            <w:r w:rsidR="00250ED3">
              <w:rPr>
                <w:rFonts w:ascii="Calibri" w:hAnsi="Calibri" w:cs="Calibri"/>
              </w:rPr>
              <w:t>s</w:t>
            </w:r>
            <w:r>
              <w:rPr>
                <w:rFonts w:ascii="Calibri" w:hAnsi="Calibri" w:cs="Calibri"/>
              </w:rPr>
              <w:t xml:space="preserve">) defined </w:t>
            </w:r>
            <w:r w:rsidR="00250ED3">
              <w:rPr>
                <w:rFonts w:ascii="Calibri" w:hAnsi="Calibri" w:cs="Calibri"/>
              </w:rPr>
              <w:t>as</w:t>
            </w:r>
            <w:r>
              <w:rPr>
                <w:rFonts w:ascii="Calibri" w:hAnsi="Calibri" w:cs="Calibri"/>
              </w:rPr>
              <w:t xml:space="preserve"> “</w:t>
            </w:r>
            <w:r w:rsidR="00250ED3" w:rsidRPr="00250ED3">
              <w:rPr>
                <w:rFonts w:ascii="Calibri" w:hAnsi="Calibri" w:cs="Calibri"/>
                <w:i/>
                <w:iCs/>
              </w:rPr>
              <w:t>an institution, irrespective of its legal form, operating on a funded basis, established separately from any sponsoring undertaking or trade for the purpose of providing retirement benefits in the context of an occupational activity on the basis of an agreement or a contract agreed:</w:t>
            </w:r>
            <w:r w:rsidR="00250ED3">
              <w:rPr>
                <w:rFonts w:ascii="Calibri" w:hAnsi="Calibri" w:cs="Calibri"/>
                <w:i/>
                <w:iCs/>
              </w:rPr>
              <w:t xml:space="preserve"> </w:t>
            </w:r>
            <w:r w:rsidR="00250ED3" w:rsidRPr="00250ED3">
              <w:rPr>
                <w:rFonts w:ascii="Calibri" w:hAnsi="Calibri" w:cs="Calibri"/>
                <w:i/>
                <w:iCs/>
              </w:rPr>
              <w:t>(a) individually or collectively between the employer(s) and the employee(s) or their respective representatives, or</w:t>
            </w:r>
            <w:r w:rsidR="00250ED3">
              <w:rPr>
                <w:rFonts w:ascii="Calibri" w:hAnsi="Calibri" w:cs="Calibri"/>
                <w:i/>
                <w:iCs/>
              </w:rPr>
              <w:t xml:space="preserve"> </w:t>
            </w:r>
            <w:r w:rsidR="00250ED3" w:rsidRPr="00250ED3">
              <w:rPr>
                <w:rFonts w:ascii="Calibri" w:hAnsi="Calibri" w:cs="Calibri"/>
                <w:i/>
                <w:iCs/>
              </w:rPr>
              <w:t>(b) with self-employed persons, individually or collectively, in compliance with the law of the home and host Member States,</w:t>
            </w:r>
            <w:r w:rsidR="00250ED3">
              <w:rPr>
                <w:rFonts w:ascii="Calibri" w:hAnsi="Calibri" w:cs="Calibri"/>
                <w:i/>
                <w:iCs/>
              </w:rPr>
              <w:t xml:space="preserve"> </w:t>
            </w:r>
            <w:r w:rsidR="00250ED3" w:rsidRPr="00250ED3">
              <w:rPr>
                <w:rFonts w:ascii="Calibri" w:hAnsi="Calibri" w:cs="Calibri"/>
                <w:i/>
                <w:iCs/>
              </w:rPr>
              <w:t>and which carries out activities directly arising therefrom;</w:t>
            </w:r>
            <w:r>
              <w:rPr>
                <w:rFonts w:ascii="Calibri" w:hAnsi="Calibri" w:cs="Calibri"/>
              </w:rPr>
              <w:t>” (Article 6).</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lastRenderedPageBreak/>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EE157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8730A5" w:rsidRDefault="00107CE2" w:rsidP="00DD3144">
            <w:pPr>
              <w:rPr>
                <w:lang w:val="fr-FR"/>
              </w:rPr>
            </w:pPr>
            <w:r w:rsidRPr="008730A5">
              <w:rPr>
                <w:lang w:val="fr-FR"/>
              </w:rPr>
              <w:t>Minimum revenue (Enter minimum revenue)</w:t>
            </w:r>
          </w:p>
        </w:tc>
        <w:tc>
          <w:tcPr>
            <w:tcW w:w="4910" w:type="dxa"/>
            <w:gridSpan w:val="7"/>
            <w:shd w:val="clear" w:color="auto" w:fill="auto"/>
            <w:vAlign w:val="center"/>
          </w:tcPr>
          <w:p w14:paraId="2518BD70" w14:textId="77777777" w:rsidR="00524D54" w:rsidRPr="008730A5" w:rsidRDefault="00524D54" w:rsidP="00DD3144">
            <w:pPr>
              <w:rPr>
                <w:lang w:val="fr-FR"/>
              </w:rPr>
            </w:pPr>
          </w:p>
        </w:tc>
      </w:tr>
      <w:tr w:rsidR="00524D54" w:rsidRPr="008D5EB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A47D106" w:rsidR="00524D54" w:rsidRPr="003577A4" w:rsidRDefault="001C120D" w:rsidP="00DD3144">
            <w:r>
              <w:t>X</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077DA5A1"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1A2F2D17" w:rsidR="00576ED8" w:rsidRPr="001C120D" w:rsidRDefault="00576ED8" w:rsidP="00DD3144"/>
        </w:tc>
      </w:tr>
      <w:tr w:rsidR="003B44EE" w14:paraId="61A5ECFC" w14:textId="77777777" w:rsidTr="00DD3144">
        <w:trPr>
          <w:trHeight w:val="533"/>
        </w:trPr>
        <w:tc>
          <w:tcPr>
            <w:tcW w:w="1066" w:type="dxa"/>
            <w:vAlign w:val="center"/>
          </w:tcPr>
          <w:p w14:paraId="7F201CEE" w14:textId="7D7DCA0B" w:rsidR="003B44EE" w:rsidRDefault="003B44EE" w:rsidP="003B44EE">
            <w:r>
              <w:t>1.7.2</w:t>
            </w:r>
          </w:p>
        </w:tc>
        <w:tc>
          <w:tcPr>
            <w:tcW w:w="4464" w:type="dxa"/>
            <w:shd w:val="clear" w:color="auto" w:fill="E2EFD9" w:themeFill="accent6" w:themeFillTint="33"/>
            <w:vAlign w:val="center"/>
          </w:tcPr>
          <w:p w14:paraId="0E02D0BF" w14:textId="450C0C06" w:rsidR="003B44EE" w:rsidRDefault="003B44EE" w:rsidP="003B44EE">
            <w:r>
              <w:t>Yes</w:t>
            </w:r>
          </w:p>
        </w:tc>
        <w:tc>
          <w:tcPr>
            <w:tcW w:w="4910" w:type="dxa"/>
            <w:gridSpan w:val="7"/>
            <w:shd w:val="clear" w:color="auto" w:fill="auto"/>
            <w:vAlign w:val="center"/>
          </w:tcPr>
          <w:p w14:paraId="1D0EF3A6" w14:textId="098D159A" w:rsidR="003B44EE" w:rsidRDefault="003B44EE" w:rsidP="003B44EE">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RPr="001C120D"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1A2BA297" w:rsidR="009F5822" w:rsidRPr="001C120D" w:rsidRDefault="001C120D" w:rsidP="00250ED3">
            <w:pPr>
              <w:rPr>
                <w:highlight w:val="yellow"/>
              </w:rPr>
            </w:pPr>
            <w:r>
              <w:t>W</w:t>
            </w:r>
            <w:r w:rsidRPr="001C120D">
              <w:t>ith the exception of Articles 32 to 35, Member States may choose not to apply this Directive, in whole or in part, to any IORP registered or authorised in their territories which operates pension schemes which together have less than 100 members in total</w:t>
            </w:r>
            <w:r>
              <w:t xml:space="preserve"> (Article 5)</w:t>
            </w:r>
            <w:r w:rsidRPr="001C120D">
              <w:t>. Subject to Article 2(2), such IORPs shall nevertheless be given the right to apply this Directive on a voluntary basis. Article 11 may be applied only if all the other provisions of this Directive apply. Member States shall apply Article 19(1) and Article 21(1) and (2) to any IORP registered or authorised in their territories which operates pension schemes which together have more than 15 members in total</w:t>
            </w:r>
            <w:r>
              <w:t>.</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lastRenderedPageBreak/>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7CA965BD" w:rsidR="00911F20" w:rsidRDefault="00727E11"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1D2FD165" w14:textId="77777777" w:rsidR="009C4798" w:rsidRDefault="00727E11" w:rsidP="00DD3144">
            <w:pPr>
              <w:rPr>
                <w:rFonts w:ascii="Calibri" w:hAnsi="Calibri" w:cs="Calibri"/>
              </w:rPr>
            </w:pPr>
            <w:r>
              <w:rPr>
                <w:rFonts w:ascii="Calibri" w:hAnsi="Calibri" w:cs="Calibri"/>
              </w:rPr>
              <w:t xml:space="preserve">The IORP </w:t>
            </w:r>
            <w:r w:rsidR="0027796A">
              <w:rPr>
                <w:rFonts w:ascii="Calibri" w:hAnsi="Calibri" w:cs="Calibri"/>
              </w:rPr>
              <w:t>II</w:t>
            </w:r>
            <w:r>
              <w:rPr>
                <w:rFonts w:ascii="Calibri" w:hAnsi="Calibri" w:cs="Calibri"/>
              </w:rPr>
              <w:t xml:space="preserve"> </w:t>
            </w:r>
            <w:r w:rsidR="003B44EE">
              <w:rPr>
                <w:rFonts w:ascii="Calibri" w:hAnsi="Calibri" w:cs="Calibri"/>
              </w:rPr>
              <w:t xml:space="preserve">Directive </w:t>
            </w:r>
            <w:r>
              <w:rPr>
                <w:rFonts w:ascii="Calibri" w:hAnsi="Calibri" w:cs="Calibri"/>
              </w:rPr>
              <w:t>do</w:t>
            </w:r>
            <w:r w:rsidR="003B44EE">
              <w:rPr>
                <w:rFonts w:ascii="Calibri" w:hAnsi="Calibri" w:cs="Calibri"/>
              </w:rPr>
              <w:t>es</w:t>
            </w:r>
            <w:r>
              <w:rPr>
                <w:rFonts w:ascii="Calibri" w:hAnsi="Calibri" w:cs="Calibri"/>
              </w:rPr>
              <w:t xml:space="preserve"> not prescribe specific sanctions, it just states that “</w:t>
            </w:r>
            <w:r w:rsidRPr="003B44EE">
              <w:rPr>
                <w:rFonts w:ascii="Calibri" w:hAnsi="Calibri" w:cs="Calibri"/>
                <w:i/>
                <w:iCs/>
              </w:rPr>
              <w:t>Without prejudice to the supervisory powers of competent authorities and the right of Member States to provide for and impose criminal sanctions, Member States shall ensure that their competent authorities may impose administrative sanctions and other measures applicable to all infringements of the national provisions implementing this Directive, and shall take all measures necessary to ensure that they are implemented. Member States shall ensure that their administrative sanctions and other measures are effective, proportionate and  dissuasive”</w:t>
            </w:r>
            <w:r w:rsidRPr="003B44EE">
              <w:rPr>
                <w:rFonts w:ascii="Calibri" w:hAnsi="Calibri" w:cs="Calibri"/>
              </w:rPr>
              <w:t xml:space="preserve"> (Article 48</w:t>
            </w:r>
            <w:r w:rsidR="00B406C5">
              <w:rPr>
                <w:rFonts w:ascii="Calibri" w:hAnsi="Calibri" w:cs="Calibri"/>
              </w:rPr>
              <w:t>).</w:t>
            </w:r>
          </w:p>
          <w:p w14:paraId="6475235A" w14:textId="3FF94672" w:rsidR="006132D0" w:rsidRDefault="006132D0" w:rsidP="006132D0">
            <w:r>
              <w:t>Competent authorities may prohibit or restrict the activities of an IORP and restrict or prohibit the free disposal of the IORP’s assets.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2A3D01A9"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151A3A58"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D08FB15" w:rsidR="00CB1649" w:rsidRPr="00FA0CF8" w:rsidRDefault="00EE1574"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2C94FEAA"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4437FF" w14:paraId="5FB791CE" w14:textId="77777777" w:rsidTr="00DD3144">
        <w:trPr>
          <w:trHeight w:val="1020"/>
        </w:trPr>
        <w:tc>
          <w:tcPr>
            <w:tcW w:w="1066" w:type="dxa"/>
            <w:vAlign w:val="center"/>
          </w:tcPr>
          <w:p w14:paraId="3003EF32" w14:textId="77777777" w:rsidR="004437FF" w:rsidRPr="00530553" w:rsidRDefault="004437FF" w:rsidP="004437FF">
            <w:pPr>
              <w:rPr>
                <w:b/>
                <w:bCs/>
                <w:color w:val="000000" w:themeColor="text1"/>
              </w:rPr>
            </w:pPr>
          </w:p>
        </w:tc>
        <w:tc>
          <w:tcPr>
            <w:tcW w:w="9374" w:type="dxa"/>
            <w:gridSpan w:val="8"/>
            <w:shd w:val="clear" w:color="auto" w:fill="auto"/>
            <w:vAlign w:val="center"/>
          </w:tcPr>
          <w:p w14:paraId="21FC1B7F" w14:textId="6E5C3062" w:rsidR="00C67C19" w:rsidRPr="00EE1574" w:rsidRDefault="00C67C19" w:rsidP="00EE1574">
            <w:pPr>
              <w:spacing w:line="276" w:lineRule="auto"/>
              <w:rPr>
                <w:rFonts w:ascii="Calibri" w:hAnsi="Calibri" w:cs="Calibri"/>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EE20636"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6C7CACF7" w:rsidR="00042406" w:rsidRDefault="00071654"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06047320" w:rsidR="00042406" w:rsidRDefault="00071654"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3C13B9C" w:rsidR="00042406" w:rsidRDefault="00071654"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5879D8D5" w:rsidR="00042406" w:rsidRDefault="00071654"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5718B739" w:rsidR="00042406" w:rsidRDefault="00071654"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6A39E0BE" w:rsidR="00042406" w:rsidRDefault="00071654"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496FCD76" w:rsidR="00042406" w:rsidRDefault="00071654"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58C19A60" w:rsidR="0031405C" w:rsidRDefault="00071654" w:rsidP="0039395D">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lastRenderedPageBreak/>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EE1574"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8730A5" w:rsidRDefault="00B0479E" w:rsidP="00DD3144">
            <w:pPr>
              <w:rPr>
                <w:lang w:val="fr-FR"/>
              </w:rPr>
            </w:pPr>
            <w:r w:rsidRPr="008730A5">
              <w:rPr>
                <w:rFonts w:ascii="Calibri" w:hAnsi="Calibri" w:cs="Calibri"/>
                <w:lang w:val="fr-FR"/>
              </w:rPr>
              <w:t xml:space="preserve">Carbon </w:t>
            </w:r>
            <w:proofErr w:type="spellStart"/>
            <w:r w:rsidRPr="008730A5">
              <w:rPr>
                <w:rFonts w:ascii="Calibri" w:hAnsi="Calibri" w:cs="Calibri"/>
                <w:lang w:val="fr-FR"/>
              </w:rPr>
              <w:t>dioxide</w:t>
            </w:r>
            <w:proofErr w:type="spellEnd"/>
            <w:r w:rsidRPr="008730A5">
              <w:rPr>
                <w:rFonts w:ascii="Calibri" w:hAnsi="Calibri" w:cs="Calibri"/>
                <w:lang w:val="fr-FR"/>
              </w:rPr>
              <w:t xml:space="preserve"> </w:t>
            </w:r>
            <w:proofErr w:type="spellStart"/>
            <w:r w:rsidRPr="008730A5">
              <w:rPr>
                <w:rFonts w:ascii="Calibri" w:hAnsi="Calibri" w:cs="Calibri"/>
                <w:lang w:val="fr-FR"/>
              </w:rPr>
              <w:t>equivalent</w:t>
            </w:r>
            <w:proofErr w:type="spellEnd"/>
            <w:r w:rsidRPr="008730A5">
              <w:rPr>
                <w:rFonts w:ascii="Calibri" w:hAnsi="Calibri" w:cs="Calibri"/>
                <w:lang w:val="fr-FR"/>
              </w:rPr>
              <w:t xml:space="preserve"> (</w:t>
            </w:r>
            <w:proofErr w:type="spellStart"/>
            <w:r w:rsidRPr="008730A5">
              <w:rPr>
                <w:rFonts w:ascii="Calibri" w:hAnsi="Calibri" w:cs="Calibri"/>
                <w:lang w:val="fr-FR"/>
              </w:rPr>
              <w:t>CO₂e</w:t>
            </w:r>
            <w:proofErr w:type="spellEnd"/>
            <w:r w:rsidRPr="008730A5">
              <w:rPr>
                <w:rFonts w:ascii="Calibri" w:hAnsi="Calibri" w:cs="Calibri"/>
                <w:lang w:val="fr-FR"/>
              </w:rPr>
              <w:t xml:space="preserve">) </w:t>
            </w:r>
          </w:p>
        </w:tc>
        <w:tc>
          <w:tcPr>
            <w:tcW w:w="3330" w:type="dxa"/>
            <w:gridSpan w:val="2"/>
            <w:shd w:val="clear" w:color="auto" w:fill="auto"/>
            <w:vAlign w:val="center"/>
          </w:tcPr>
          <w:p w14:paraId="7C41530E" w14:textId="769FE26A" w:rsidR="00B0479E" w:rsidRPr="008730A5"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lastRenderedPageBreak/>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2D616BC3" w:rsidR="00B0479E" w:rsidRDefault="00071654"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F960372" w14:textId="0CC61A94" w:rsidR="00B0479E" w:rsidRDefault="00071654" w:rsidP="00DD3144">
            <w:r>
              <w:t xml:space="preserve">Pursuant to Article 30 of the </w:t>
            </w:r>
            <w:r w:rsidR="00C4062D">
              <w:t xml:space="preserve">IORP II </w:t>
            </w:r>
            <w:r>
              <w:t xml:space="preserve">Directive, the entities shall disclose </w:t>
            </w:r>
            <w:r w:rsidR="00CA06B0">
              <w:t xml:space="preserve">to the public </w:t>
            </w:r>
            <w:r>
              <w:t xml:space="preserve">information relating to </w:t>
            </w:r>
            <w:r w:rsidR="00CA06B0">
              <w:t>their investment-policy that contains at least “</w:t>
            </w:r>
            <w:r w:rsidR="00CA06B0" w:rsidRPr="00C4062D">
              <w:rPr>
                <w:i/>
                <w:iCs/>
              </w:rPr>
              <w:t>such matters as […] how the investment policy takes environmental, social and  governance factors into account</w:t>
            </w:r>
            <w:r w:rsidR="00CA06B0">
              <w:t>”</w:t>
            </w:r>
            <w:r w:rsidR="00C4062D">
              <w:t>.</w:t>
            </w:r>
          </w:p>
          <w:p w14:paraId="263820B0" w14:textId="7A4C9CE3" w:rsidR="00CA06B0" w:rsidRDefault="00C4062D" w:rsidP="00DD3144">
            <w:r>
              <w:t>According</w:t>
            </w:r>
            <w:r w:rsidR="00CA06B0">
              <w:t xml:space="preserve"> t</w:t>
            </w:r>
            <w:r>
              <w:t>o</w:t>
            </w:r>
            <w:r w:rsidR="00CA06B0">
              <w:t xml:space="preserve"> Article</w:t>
            </w:r>
            <w:r>
              <w:t>s</w:t>
            </w:r>
            <w:r w:rsidR="00CA06B0">
              <w:t xml:space="preserve"> 41 1. (c) and 2.</w:t>
            </w:r>
            <w:r>
              <w:t xml:space="preserve"> </w:t>
            </w:r>
            <w:r w:rsidR="00CA06B0">
              <w:t>(c) of the Directive, the entities shall disclose, to prospective members, “</w:t>
            </w:r>
            <w:r w:rsidR="00CA06B0" w:rsidRPr="00C4062D">
              <w:rPr>
                <w:i/>
                <w:iCs/>
              </w:rPr>
              <w:t>information on whether and how environmental, climate, social and  corporate governance factors are considered in the investment  approach</w:t>
            </w:r>
            <w:r w:rsidR="00CA06B0">
              <w:t>”</w:t>
            </w:r>
            <w:r w:rsidR="00AF0DD8">
              <w:t>.</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lastRenderedPageBreak/>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200A94A3" w:rsidR="00EC42A1" w:rsidRDefault="00AF0DD8"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50F5049C" w:rsidR="00EC42A1" w:rsidRDefault="00AF0DD8"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62BEB4E1" w:rsidR="00EC42A1" w:rsidRDefault="00AF0DD8"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lastRenderedPageBreak/>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037EFF04" w:rsidR="00484663" w:rsidRDefault="00AF0DD8"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2A2F502B" w:rsidR="00484663" w:rsidRDefault="00AF0DD8"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7423559D" w:rsidR="00484663" w:rsidRDefault="00AF0DD8"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 xml:space="preserve">scenario </w:t>
            </w:r>
            <w:r w:rsidRPr="00831C3E">
              <w:rPr>
                <w:rFonts w:eastAsia="Times New Roman" w:cstheme="minorHAnsi"/>
                <w:b/>
                <w:color w:val="7030A0"/>
                <w:kern w:val="0"/>
                <w:lang w:eastAsia="en-GB"/>
                <w14:ligatures w14:val="none"/>
              </w:rPr>
              <w:lastRenderedPageBreak/>
              <w:t>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0A9859A1" w:rsidR="00484663" w:rsidRDefault="00AF0DD8"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11B3370E" w:rsidR="00484663" w:rsidRDefault="00AF0DD8"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2353C517" w:rsidR="00484663" w:rsidRDefault="00AF0DD8"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5FBCD540" w:rsidR="00484663" w:rsidRDefault="00AF0DD8"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6A4DE68B" w:rsidR="00484663" w:rsidRDefault="00AF0DD8"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49924AB9" w:rsidR="00484663" w:rsidRDefault="00AF0DD8"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0C496816" w:rsidR="00484663" w:rsidRDefault="00AF0DD8"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2AD567" w:rsidR="00484663" w:rsidRDefault="00AF0DD8"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4149C036" w:rsidR="00484663" w:rsidRDefault="00AF0DD8"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55FB1C2" w:rsidR="00DA416F" w:rsidRPr="00DD3144" w:rsidRDefault="00AF0DD8"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33326AA" w:rsidR="00DA416F" w:rsidRPr="00DD3144" w:rsidRDefault="00AF0DD8"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5C5EEA4C" w:rsidR="00DA416F" w:rsidRPr="00DD3144" w:rsidRDefault="00AF0DD8"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04F5BB3" w:rsidR="00DA416F" w:rsidRPr="00DD3144" w:rsidRDefault="00AF0DD8"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F7DB6B2" w:rsidR="00DA416F" w:rsidRPr="00DD3144" w:rsidRDefault="00AF0DD8"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AE769B9" w:rsidR="00DA416F" w:rsidRPr="00DD3144" w:rsidRDefault="00AF0DD8"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4D6AE3E" w:rsidR="00DA416F" w:rsidRPr="00DD3144" w:rsidRDefault="00AF0DD8"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ACFB8F2" w:rsidR="00DA416F" w:rsidRPr="00DD3144" w:rsidRDefault="00AF0DD8"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DF6F47A" w:rsidR="00DA416F" w:rsidRPr="00DD3144" w:rsidRDefault="00AF0DD8"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60DE0FD" w:rsidR="00DA416F" w:rsidRPr="00DD3144" w:rsidRDefault="00AF0DD8"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CD9C1B4" w:rsidR="00DA416F" w:rsidRPr="00DD3144" w:rsidRDefault="00E3352A"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8E8E6B8" w:rsidR="00DA416F" w:rsidRPr="00DD3144" w:rsidRDefault="00E3352A"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9E7C987" w:rsidR="00DA416F" w:rsidRPr="00DD3144" w:rsidRDefault="00E3352A"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C2B3215" w:rsidR="00DA416F" w:rsidRPr="00DD3144" w:rsidRDefault="00E3352A"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Heading1"/>
      </w:pPr>
      <w:bookmarkStart w:id="7" w:name="_Toc198223605"/>
      <w:r>
        <w:lastRenderedPageBreak/>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EE1574"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730A5" w:rsidRDefault="004F276F" w:rsidP="00C37D48">
            <w:pPr>
              <w:rPr>
                <w:rFonts w:ascii="Calibri" w:hAnsi="Calibri" w:cs="Calibri"/>
                <w:lang w:val="fr-FR"/>
              </w:rPr>
            </w:pPr>
            <w:r w:rsidRPr="008730A5">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8730A5" w:rsidRDefault="004F276F" w:rsidP="00C37D48">
            <w:pPr>
              <w:rPr>
                <w:rFonts w:ascii="Calibri" w:hAnsi="Calibri" w:cs="Calibri"/>
                <w:lang w:val="fr-FR"/>
              </w:rPr>
            </w:pPr>
          </w:p>
        </w:tc>
      </w:tr>
      <w:tr w:rsidR="004F276F" w:rsidRPr="008D5EB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lastRenderedPageBreak/>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EE1574"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8730A5" w:rsidRDefault="003A2E5E" w:rsidP="00C37D48">
            <w:pPr>
              <w:rPr>
                <w:rFonts w:ascii="Calibri" w:hAnsi="Calibri" w:cs="Calibri"/>
                <w:lang w:val="fr-FR"/>
              </w:rPr>
            </w:pPr>
            <w:r w:rsidRPr="008730A5">
              <w:rPr>
                <w:rFonts w:ascii="Calibri" w:hAnsi="Calibri" w:cs="Calibri"/>
                <w:lang w:val="fr-FR"/>
              </w:rPr>
              <w:t xml:space="preserve">Carbon </w:t>
            </w:r>
            <w:proofErr w:type="spellStart"/>
            <w:r w:rsidRPr="008730A5">
              <w:rPr>
                <w:rFonts w:ascii="Calibri" w:hAnsi="Calibri" w:cs="Calibri"/>
                <w:lang w:val="fr-FR"/>
              </w:rPr>
              <w:t>dioxide</w:t>
            </w:r>
            <w:proofErr w:type="spellEnd"/>
            <w:r w:rsidRPr="008730A5">
              <w:rPr>
                <w:rFonts w:ascii="Calibri" w:hAnsi="Calibri" w:cs="Calibri"/>
                <w:lang w:val="fr-FR"/>
              </w:rPr>
              <w:t xml:space="preserve"> </w:t>
            </w:r>
            <w:proofErr w:type="spellStart"/>
            <w:r w:rsidRPr="008730A5">
              <w:rPr>
                <w:rFonts w:ascii="Calibri" w:hAnsi="Calibri" w:cs="Calibri"/>
                <w:lang w:val="fr-FR"/>
              </w:rPr>
              <w:t>equivalent</w:t>
            </w:r>
            <w:proofErr w:type="spellEnd"/>
            <w:r w:rsidRPr="008730A5">
              <w:rPr>
                <w:rFonts w:ascii="Calibri" w:hAnsi="Calibri" w:cs="Calibri"/>
                <w:lang w:val="fr-FR"/>
              </w:rPr>
              <w:t xml:space="preserve"> (</w:t>
            </w:r>
            <w:proofErr w:type="spellStart"/>
            <w:r w:rsidRPr="008730A5">
              <w:rPr>
                <w:rFonts w:ascii="Calibri" w:hAnsi="Calibri" w:cs="Calibri"/>
                <w:lang w:val="fr-FR"/>
              </w:rPr>
              <w:t>CO₂e</w:t>
            </w:r>
            <w:proofErr w:type="spellEnd"/>
            <w:r w:rsidRPr="008730A5">
              <w:rPr>
                <w:rFonts w:ascii="Calibri" w:hAnsi="Calibri" w:cs="Calibri"/>
                <w:lang w:val="fr-FR"/>
              </w:rPr>
              <w:t>)  </w:t>
            </w:r>
          </w:p>
        </w:tc>
        <w:tc>
          <w:tcPr>
            <w:tcW w:w="5300" w:type="dxa"/>
            <w:gridSpan w:val="3"/>
            <w:shd w:val="clear" w:color="auto" w:fill="auto"/>
            <w:vAlign w:val="center"/>
          </w:tcPr>
          <w:p w14:paraId="4064936F" w14:textId="77777777" w:rsidR="003A2E5E" w:rsidRPr="008730A5"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lastRenderedPageBreak/>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EE157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8730A5" w:rsidRDefault="00C66EE0" w:rsidP="00610F28">
            <w:pPr>
              <w:rPr>
                <w:rFonts w:ascii="Calibri" w:hAnsi="Calibri" w:cs="Calibri"/>
                <w:lang w:val="fr-FR"/>
              </w:rPr>
            </w:pPr>
            <w:r w:rsidRPr="008730A5">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8730A5" w:rsidRDefault="00C66EE0" w:rsidP="00610F28">
            <w:pPr>
              <w:rPr>
                <w:rFonts w:ascii="Calibri" w:hAnsi="Calibri" w:cs="Calibri"/>
                <w:lang w:val="fr-FR"/>
              </w:rPr>
            </w:pPr>
          </w:p>
        </w:tc>
      </w:tr>
      <w:tr w:rsidR="00241257" w:rsidRPr="008D5EB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lastRenderedPageBreak/>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lastRenderedPageBreak/>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EE157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8730A5" w:rsidRDefault="00092534" w:rsidP="00CF2E7C">
            <w:pPr>
              <w:rPr>
                <w:rFonts w:ascii="Calibri" w:hAnsi="Calibri" w:cs="Calibri"/>
                <w:lang w:val="fr-FR"/>
              </w:rPr>
            </w:pPr>
            <w:r w:rsidRPr="008730A5">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8730A5" w:rsidRDefault="00092534" w:rsidP="00CF2E7C">
            <w:pPr>
              <w:rPr>
                <w:rFonts w:ascii="Calibri" w:hAnsi="Calibri" w:cs="Calibri"/>
                <w:lang w:val="fr-FR"/>
              </w:rPr>
            </w:pPr>
          </w:p>
        </w:tc>
      </w:tr>
      <w:tr w:rsidR="00092534" w:rsidRPr="008D5EB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050C9636" w:rsidR="00D4323A" w:rsidRPr="00CF2E7C" w:rsidRDefault="0087778A"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4EEB5827" w:rsidR="00D4323A" w:rsidRPr="00CF2E7C" w:rsidRDefault="0087778A"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A1ECEE6" w:rsidR="00D4323A" w:rsidRPr="00CF2E7C" w:rsidRDefault="00980C8B" w:rsidP="00CF2E7C">
            <w:pPr>
              <w:rPr>
                <w:rFonts w:ascii="Calibri" w:hAnsi="Calibri" w:cs="Calibri"/>
              </w:rPr>
            </w:pPr>
            <w:r>
              <w:rPr>
                <w:rFonts w:ascii="Calibri" w:hAnsi="Calibri" w:cs="Calibri"/>
              </w:rPr>
              <w:t>X</w:t>
            </w:r>
          </w:p>
        </w:tc>
        <w:tc>
          <w:tcPr>
            <w:tcW w:w="1455" w:type="dxa"/>
            <w:gridSpan w:val="2"/>
            <w:vAlign w:val="center"/>
          </w:tcPr>
          <w:p w14:paraId="768ED678" w14:textId="01D4A533" w:rsidR="00D4323A" w:rsidRPr="00C44592" w:rsidRDefault="00D4323A" w:rsidP="00CF2E7C">
            <w:pPr>
              <w:rPr>
                <w:rFonts w:ascii="Calibri" w:hAnsi="Calibri" w:cs="Calibri"/>
                <w:highlight w:val="yellow"/>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35A1B566" w:rsidR="00D4323A" w:rsidRPr="00CF2E7C" w:rsidRDefault="0087778A"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17B8CCBE" w:rsidR="00D4323A" w:rsidRPr="00CF2E7C" w:rsidRDefault="0087778A"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279361D4" w:rsidR="00D4323A" w:rsidRPr="00CF2E7C" w:rsidRDefault="0087778A"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5C1CBC75" w:rsidR="00D4323A" w:rsidRPr="00CF2E7C" w:rsidRDefault="0087778A"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5576C86B" w:rsidR="00D4323A" w:rsidRPr="00CF2E7C" w:rsidRDefault="0087778A"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48F38AA3" w:rsidR="00D4323A" w:rsidRPr="00CF2E7C" w:rsidRDefault="0087778A"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421A59EB" w:rsidR="00D4323A" w:rsidRPr="00CF2E7C" w:rsidRDefault="0087778A"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7F869E3" w:rsidR="00D4323A" w:rsidRPr="00CF2E7C" w:rsidRDefault="0087778A"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6002D0F3" w:rsidR="00D4323A" w:rsidRPr="00CF2E7C" w:rsidRDefault="0087778A"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6716EFEA" w:rsidR="00D4323A" w:rsidRPr="00CF2E7C" w:rsidRDefault="0087778A"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5FEC496" w:rsidR="00DD292A" w:rsidRPr="00CF2E7C" w:rsidRDefault="0087778A"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49C8B3DD" w:rsidR="00DD292A" w:rsidRPr="00CF2E7C" w:rsidRDefault="0087778A"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33A90B6A" w:rsidR="00DD292A" w:rsidRPr="00CF2E7C" w:rsidRDefault="0087778A"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27AB16" w:rsidR="00DD292A" w:rsidRPr="00CF2E7C" w:rsidRDefault="0087778A"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4B2AB6" w:rsidRDefault="00DD292A" w:rsidP="00CF2E7C">
            <w:pPr>
              <w:rPr>
                <w:rFonts w:ascii="Calibri" w:hAnsi="Calibri" w:cs="Calibri"/>
              </w:rPr>
            </w:pPr>
          </w:p>
        </w:tc>
        <w:tc>
          <w:tcPr>
            <w:tcW w:w="1455" w:type="dxa"/>
            <w:gridSpan w:val="2"/>
            <w:vAlign w:val="center"/>
          </w:tcPr>
          <w:p w14:paraId="2844CBF5" w14:textId="5D65DB67" w:rsidR="00DD292A" w:rsidRPr="004B2AB6" w:rsidRDefault="008730A5" w:rsidP="00CF2E7C">
            <w:pPr>
              <w:rPr>
                <w:rFonts w:ascii="Calibri" w:hAnsi="Calibri" w:cs="Calibri"/>
              </w:rPr>
            </w:pPr>
            <w:r w:rsidRPr="004B2AB6">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47DB5311" w:rsidR="00DD292A" w:rsidRPr="00CF2E7C" w:rsidRDefault="0087778A"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50CFDC0F" w:rsidR="00DD292A" w:rsidRPr="00CF2E7C" w:rsidRDefault="0087778A" w:rsidP="00CF2E7C">
            <w:pPr>
              <w:rPr>
                <w:rFonts w:ascii="Calibri" w:hAnsi="Calibri" w:cs="Calibri"/>
              </w:rPr>
            </w:pPr>
            <w:r>
              <w:rPr>
                <w:rFonts w:ascii="Calibri" w:hAnsi="Calibri" w:cs="Calibri"/>
              </w:rPr>
              <w:t xml:space="preserve">The </w:t>
            </w:r>
            <w:r w:rsidR="0027796A">
              <w:rPr>
                <w:rFonts w:ascii="Calibri" w:hAnsi="Calibri" w:cs="Calibri"/>
              </w:rPr>
              <w:t xml:space="preserve">IORP II </w:t>
            </w:r>
            <w:r>
              <w:rPr>
                <w:rFonts w:ascii="Calibri" w:hAnsi="Calibri" w:cs="Calibri"/>
              </w:rPr>
              <w:t xml:space="preserve">Directive applies to </w:t>
            </w:r>
            <w:r w:rsidR="00200292">
              <w:rPr>
                <w:rFonts w:ascii="Calibri" w:hAnsi="Calibri" w:cs="Calibri"/>
              </w:rPr>
              <w:t>institutions for occupational retirement provision (IORP</w:t>
            </w:r>
            <w:r w:rsidR="0082166B">
              <w:rPr>
                <w:rFonts w:ascii="Calibri" w:hAnsi="Calibri" w:cs="Calibri"/>
              </w:rPr>
              <w:t>s</w:t>
            </w:r>
            <w:r w:rsidR="00200292">
              <w:rPr>
                <w:rFonts w:ascii="Calibri" w:hAnsi="Calibri" w:cs="Calibri"/>
              </w:rPr>
              <w:t xml:space="preserve">) defined </w:t>
            </w:r>
            <w:r w:rsidR="0082166B">
              <w:rPr>
                <w:rFonts w:ascii="Calibri" w:hAnsi="Calibri" w:cs="Calibri"/>
              </w:rPr>
              <w:t>as</w:t>
            </w:r>
            <w:r w:rsidR="00200292">
              <w:rPr>
                <w:rFonts w:ascii="Calibri" w:hAnsi="Calibri" w:cs="Calibri"/>
              </w:rPr>
              <w:t xml:space="preserve"> “</w:t>
            </w:r>
            <w:r w:rsidR="00200292" w:rsidRPr="004B2AB6">
              <w:rPr>
                <w:rFonts w:ascii="Calibri" w:hAnsi="Calibri" w:cs="Calibri"/>
                <w:i/>
                <w:iCs/>
              </w:rPr>
              <w:t>an institution, irrespective of its legal form, operating on  a funded basis, established separately from any sponsoring undertaking or trade for the purpose of providing retirement benefits in  the context of an occupational activity on the basis of an  agreement or a contract agreed: (a) individually or collectively between the employer(s) and the  employee(s) or their respective representatives, or (b) with self-employed persons, individually or collectively, in  compliance with the law of the home and host Member States,  and which carries out activities directly arising therefrom;</w:t>
            </w:r>
            <w:r w:rsidR="00200292">
              <w:rPr>
                <w:rFonts w:ascii="Calibri" w:hAnsi="Calibri" w:cs="Calibri"/>
              </w:rPr>
              <w:t>” (Article 6).</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lastRenderedPageBreak/>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EE157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8730A5" w:rsidRDefault="00DD292A" w:rsidP="00CF2E7C">
            <w:pPr>
              <w:rPr>
                <w:rFonts w:ascii="Calibri" w:hAnsi="Calibri" w:cs="Calibri"/>
                <w:lang w:val="fr-FR"/>
              </w:rPr>
            </w:pPr>
            <w:r w:rsidRPr="008730A5">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8730A5" w:rsidRDefault="00DD292A" w:rsidP="00CF2E7C">
            <w:pPr>
              <w:rPr>
                <w:rFonts w:ascii="Calibri" w:hAnsi="Calibri" w:cs="Calibri"/>
                <w:lang w:val="fr-FR"/>
              </w:rPr>
            </w:pPr>
          </w:p>
        </w:tc>
      </w:tr>
      <w:tr w:rsidR="00DD292A" w:rsidRPr="008D5EB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0AC4FB1" w:rsidR="00DD292A" w:rsidRPr="00CF2E7C" w:rsidRDefault="0082166B" w:rsidP="00CF2E7C">
            <w:pPr>
              <w:rPr>
                <w:rFonts w:ascii="Calibri" w:hAnsi="Calibri" w:cs="Calibri"/>
              </w:rPr>
            </w:pPr>
            <w:r>
              <w:rPr>
                <w:rFonts w:ascii="Calibri" w:hAnsi="Calibri" w:cs="Calibri"/>
              </w:rPr>
              <w:t>X</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1D7A2739"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23F7B2A"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0864E2B6" w:rsidR="00DD292A" w:rsidRPr="00CF2E7C" w:rsidRDefault="0082166B" w:rsidP="00CF2E7C">
            <w:pPr>
              <w:rPr>
                <w:rFonts w:ascii="Calibri" w:hAnsi="Calibri" w:cs="Calibri"/>
              </w:rPr>
            </w:pPr>
            <w:r>
              <w:rPr>
                <w:rFonts w:ascii="Calibri" w:hAnsi="Calibri" w:cs="Calibri"/>
              </w:rPr>
              <w:t>X</w:t>
            </w: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82166B" w:rsidRPr="009C4D10" w14:paraId="40C76C7F" w14:textId="77777777" w:rsidTr="00CF2E7C">
        <w:trPr>
          <w:trHeight w:val="1020"/>
        </w:trPr>
        <w:tc>
          <w:tcPr>
            <w:tcW w:w="1065" w:type="dxa"/>
            <w:vAlign w:val="center"/>
          </w:tcPr>
          <w:p w14:paraId="6742B7CA" w14:textId="77777777" w:rsidR="0082166B" w:rsidRPr="00CF2E7C" w:rsidRDefault="0082166B" w:rsidP="0082166B">
            <w:pPr>
              <w:rPr>
                <w:rFonts w:ascii="Calibri" w:hAnsi="Calibri" w:cs="Calibri"/>
              </w:rPr>
            </w:pPr>
          </w:p>
        </w:tc>
        <w:tc>
          <w:tcPr>
            <w:tcW w:w="9375" w:type="dxa"/>
            <w:gridSpan w:val="7"/>
            <w:shd w:val="clear" w:color="auto" w:fill="auto"/>
            <w:vAlign w:val="center"/>
          </w:tcPr>
          <w:p w14:paraId="0591ADDB" w14:textId="6742492E" w:rsidR="0082166B" w:rsidRPr="00CF2E7C" w:rsidRDefault="0082166B" w:rsidP="0082166B">
            <w:pPr>
              <w:rPr>
                <w:rFonts w:ascii="Calibri" w:hAnsi="Calibri" w:cs="Calibri"/>
              </w:rPr>
            </w:pPr>
            <w:r>
              <w:t>W</w:t>
            </w:r>
            <w:r w:rsidRPr="001C120D">
              <w:t>ith the exception of Articles 32 to 35, Member States may choose not to apply this Directive, in whole or in part, to any IORP registered or authorised in their territories which operates pension schemes which together have less than 100 members in total</w:t>
            </w:r>
            <w:r>
              <w:t xml:space="preserve"> (Article 5)</w:t>
            </w:r>
            <w:r w:rsidRPr="001C120D">
              <w:t>. Subject to Article 2(2), such IORPs shall nevertheless be given the right to apply this Directive on a voluntary basis. Article 11 may be applied only if all the other provisions of this Directive apply. Member States shall apply Article 19(1) and Article 21(1) and (2) to any IORP registered or authorised in their territories which operates pension schemes which together have more than 15 members in total</w:t>
            </w:r>
            <w:r>
              <w:t>.</w:t>
            </w: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lastRenderedPageBreak/>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576F0753"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5978F044" w:rsidR="00DD3B33" w:rsidRPr="00CF2E7C" w:rsidRDefault="003D40A0"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82166B" w:rsidRPr="009C4D10" w14:paraId="24FDFBB3" w14:textId="77777777" w:rsidTr="00CF2E7C">
        <w:trPr>
          <w:trHeight w:val="1020"/>
        </w:trPr>
        <w:tc>
          <w:tcPr>
            <w:tcW w:w="1065" w:type="dxa"/>
            <w:vAlign w:val="center"/>
          </w:tcPr>
          <w:p w14:paraId="436745FC" w14:textId="77777777" w:rsidR="0082166B" w:rsidRPr="00CF2E7C" w:rsidRDefault="0082166B" w:rsidP="0082166B">
            <w:pPr>
              <w:rPr>
                <w:rFonts w:ascii="Calibri" w:hAnsi="Calibri" w:cs="Calibri"/>
              </w:rPr>
            </w:pPr>
          </w:p>
        </w:tc>
        <w:tc>
          <w:tcPr>
            <w:tcW w:w="9375" w:type="dxa"/>
            <w:gridSpan w:val="7"/>
            <w:shd w:val="clear" w:color="auto" w:fill="auto"/>
            <w:vAlign w:val="center"/>
          </w:tcPr>
          <w:p w14:paraId="361D45ED" w14:textId="77777777" w:rsidR="0082166B" w:rsidRDefault="0082166B" w:rsidP="0082166B">
            <w:pPr>
              <w:rPr>
                <w:rFonts w:ascii="Calibri" w:hAnsi="Calibri" w:cs="Calibri"/>
              </w:rPr>
            </w:pPr>
            <w:r>
              <w:rPr>
                <w:rFonts w:ascii="Calibri" w:hAnsi="Calibri" w:cs="Calibri"/>
              </w:rPr>
              <w:t>The IORP II Directive does not prescribe specific sanctions, it just states that “</w:t>
            </w:r>
            <w:r w:rsidRPr="003B44EE">
              <w:rPr>
                <w:rFonts w:ascii="Calibri" w:hAnsi="Calibri" w:cs="Calibri"/>
                <w:i/>
                <w:iCs/>
              </w:rPr>
              <w:t>Without prejudice to the supervisory powers of competent authorities and the right of Member States to provide for and impose criminal sanctions, Member States shall ensure that their competent authorities may impose administrative sanctions and other measures applicable to all infringements of the national provisions implementing this Directive, and shall take all measures necessary to ensure that they are implemented. Member States shall ensure that their administrative sanctions and other measures are effective, proportionate and  dissuasive”</w:t>
            </w:r>
            <w:r w:rsidRPr="003B44EE">
              <w:rPr>
                <w:rFonts w:ascii="Calibri" w:hAnsi="Calibri" w:cs="Calibri"/>
              </w:rPr>
              <w:t xml:space="preserve"> (Article 48</w:t>
            </w:r>
            <w:r>
              <w:rPr>
                <w:rFonts w:ascii="Calibri" w:hAnsi="Calibri" w:cs="Calibri"/>
              </w:rPr>
              <w:t>).</w:t>
            </w:r>
          </w:p>
          <w:p w14:paraId="6BF4AF82" w14:textId="1C106C8B" w:rsidR="0082166B" w:rsidRPr="00CF2E7C" w:rsidRDefault="0082166B" w:rsidP="0082166B">
            <w:pPr>
              <w:rPr>
                <w:rFonts w:ascii="Calibri" w:hAnsi="Calibri" w:cs="Calibri"/>
              </w:rPr>
            </w:pPr>
            <w:r>
              <w:t>Competent authorities may prohibit or restrict the activities of an IORP and restrict or prohibit the free disposal of the IORP’s assets.</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3D20C300"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2CE59AD0"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34099666" w:rsidR="00DD292A" w:rsidRPr="00CF2E7C" w:rsidRDefault="00DD292A" w:rsidP="00CF2E7C">
            <w:pPr>
              <w:rPr>
                <w:rFonts w:ascii="Calibri" w:hAnsi="Calibri" w:cs="Calibri"/>
              </w:rPr>
            </w:pPr>
            <w:r w:rsidRPr="00CF2E7C">
              <w:rPr>
                <w:rFonts w:ascii="Calibri" w:hAnsi="Calibri" w:cs="Calibri"/>
              </w:rPr>
              <w:t>If the case of mandatory rules, is there any evidence that the</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47AC5106" w:rsidR="00DD292A" w:rsidRPr="00CF2E7C" w:rsidRDefault="00EE1574"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38AD21C8"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lastRenderedPageBreak/>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82166B" w:rsidRPr="009C4D10" w14:paraId="1000B0B8" w14:textId="77777777" w:rsidTr="00CF2E7C">
        <w:trPr>
          <w:trHeight w:val="1020"/>
        </w:trPr>
        <w:tc>
          <w:tcPr>
            <w:tcW w:w="1065" w:type="dxa"/>
            <w:vAlign w:val="center"/>
          </w:tcPr>
          <w:p w14:paraId="6EF6226F" w14:textId="77777777" w:rsidR="0082166B" w:rsidRPr="00CF2E7C" w:rsidRDefault="0082166B" w:rsidP="0082166B">
            <w:pPr>
              <w:rPr>
                <w:rFonts w:ascii="Calibri" w:hAnsi="Calibri" w:cs="Calibri"/>
              </w:rPr>
            </w:pPr>
          </w:p>
        </w:tc>
        <w:tc>
          <w:tcPr>
            <w:tcW w:w="9375" w:type="dxa"/>
            <w:gridSpan w:val="7"/>
            <w:shd w:val="clear" w:color="auto" w:fill="auto"/>
            <w:vAlign w:val="center"/>
          </w:tcPr>
          <w:p w14:paraId="7394013F" w14:textId="75391AAA" w:rsidR="0082166B" w:rsidRPr="00EE1574" w:rsidRDefault="0082166B" w:rsidP="00EE1574">
            <w:pPr>
              <w:spacing w:line="276" w:lineRule="auto"/>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4822772"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D5A3BFA" w:rsidR="00410853" w:rsidRPr="00CF2E7C" w:rsidRDefault="00B972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4F9C96D7" w:rsidR="00F632FB" w:rsidRPr="00CF2E7C" w:rsidRDefault="005F6E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4553938B" w:rsidR="00F632FB" w:rsidRPr="00CF2E7C" w:rsidRDefault="005F6E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32500261" w:rsidR="00F632FB" w:rsidRPr="00CF2E7C" w:rsidRDefault="005F6E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427816A2" w:rsidR="00F632FB" w:rsidRPr="00CF2E7C" w:rsidRDefault="005F6E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4179127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433ADFC0" w:rsidR="008C4722" w:rsidRPr="00CF2E7C" w:rsidRDefault="00C257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D6EDDC4" w:rsidR="008C4722" w:rsidRPr="00CF2E7C" w:rsidRDefault="00B364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69F92C" w14:textId="4C1205DF" w:rsidR="00B8486D" w:rsidRPr="00B8486D" w:rsidRDefault="00B8486D" w:rsidP="00B8486D">
            <w:pPr>
              <w:textAlignment w:val="baseline"/>
              <w:rPr>
                <w:rFonts w:ascii="Calibri" w:eastAsia="Times New Roman" w:hAnsi="Calibri" w:cs="Calibri"/>
                <w:kern w:val="0"/>
                <w:lang w:eastAsia="en-GB"/>
                <w14:ligatures w14:val="none"/>
              </w:rPr>
            </w:pPr>
            <w:r w:rsidRPr="00B8486D">
              <w:rPr>
                <w:rFonts w:ascii="Calibri" w:eastAsia="Times New Roman" w:hAnsi="Calibri" w:cs="Calibri"/>
                <w:kern w:val="0"/>
                <w:lang w:eastAsia="en-GB"/>
                <w14:ligatures w14:val="none"/>
              </w:rPr>
              <w:t>The IORP II requires IORPs to take into consideration sustainability factors and risks in the following areas:</w:t>
            </w:r>
          </w:p>
          <w:p w14:paraId="579DAC6E" w14:textId="77777777" w:rsidR="00B8486D" w:rsidRPr="00B8486D" w:rsidRDefault="00B8486D" w:rsidP="00B8486D">
            <w:pPr>
              <w:pStyle w:val="ListParagraph"/>
              <w:numPr>
                <w:ilvl w:val="0"/>
                <w:numId w:val="54"/>
              </w:numPr>
              <w:textAlignment w:val="baseline"/>
            </w:pPr>
            <w:r w:rsidRPr="00B8486D">
              <w:rPr>
                <w:rFonts w:ascii="Calibri" w:eastAsia="Times New Roman" w:hAnsi="Calibri" w:cs="Calibri"/>
                <w:kern w:val="0"/>
                <w:lang w:eastAsia="en-GB"/>
                <w14:ligatures w14:val="none"/>
              </w:rPr>
              <w:t>The system of governance (Article 21)</w:t>
            </w:r>
            <w:r>
              <w:rPr>
                <w:rFonts w:ascii="Calibri" w:eastAsia="Times New Roman" w:hAnsi="Calibri" w:cs="Calibri"/>
                <w:kern w:val="0"/>
                <w:lang w:eastAsia="en-GB"/>
                <w14:ligatures w14:val="none"/>
              </w:rPr>
              <w:t>, and</w:t>
            </w:r>
          </w:p>
          <w:p w14:paraId="39FC6AFA" w14:textId="1A0607A0" w:rsidR="00B8486D" w:rsidRPr="00B8486D" w:rsidRDefault="00B8486D" w:rsidP="00B8486D">
            <w:pPr>
              <w:pStyle w:val="ListParagraph"/>
              <w:numPr>
                <w:ilvl w:val="0"/>
                <w:numId w:val="54"/>
              </w:numPr>
              <w:textAlignment w:val="baseline"/>
            </w:pPr>
            <w:r w:rsidRPr="00B8486D">
              <w:rPr>
                <w:rFonts w:ascii="Calibri" w:eastAsia="Times New Roman" w:hAnsi="Calibri" w:cs="Calibri"/>
                <w:kern w:val="0"/>
                <w:lang w:eastAsia="en-GB"/>
                <w14:ligatures w14:val="none"/>
              </w:rPr>
              <w:t>The risk management and the own-risk assessment (Article</w:t>
            </w:r>
            <w:r>
              <w:rPr>
                <w:rFonts w:ascii="Calibri" w:eastAsia="Times New Roman" w:hAnsi="Calibri" w:cs="Calibri"/>
                <w:kern w:val="0"/>
                <w:lang w:eastAsia="en-GB"/>
                <w14:ligatures w14:val="none"/>
              </w:rPr>
              <w:t>s</w:t>
            </w:r>
            <w:r w:rsidRPr="00B8486D">
              <w:rPr>
                <w:rFonts w:ascii="Calibri" w:eastAsia="Times New Roman" w:hAnsi="Calibri" w:cs="Calibri"/>
                <w:kern w:val="0"/>
                <w:lang w:eastAsia="en-GB"/>
                <w14:ligatures w14:val="none"/>
              </w:rPr>
              <w:t xml:space="preserve"> 25 </w:t>
            </w:r>
            <w:r>
              <w:rPr>
                <w:rFonts w:ascii="Calibri" w:eastAsia="Times New Roman" w:hAnsi="Calibri" w:cs="Calibri"/>
                <w:kern w:val="0"/>
                <w:lang w:eastAsia="en-GB"/>
                <w14:ligatures w14:val="none"/>
              </w:rPr>
              <w:t xml:space="preserve">and </w:t>
            </w:r>
            <w:r w:rsidRPr="00B8486D">
              <w:rPr>
                <w:rFonts w:ascii="Calibri" w:eastAsia="Times New Roman" w:hAnsi="Calibri" w:cs="Calibri"/>
                <w:kern w:val="0"/>
                <w:lang w:eastAsia="en-GB"/>
                <w14:ligatures w14:val="none"/>
              </w:rPr>
              <w:t>28)</w:t>
            </w:r>
            <w:r>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2CFAD8D7" w:rsidR="008C4722" w:rsidRPr="00CF2E7C" w:rsidRDefault="001747D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57D169D2" w:rsidR="007B7DEE" w:rsidRPr="00CF2E7C" w:rsidRDefault="002951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5A539664" w:rsidR="00ED7E12" w:rsidRPr="00CF2E7C" w:rsidRDefault="005579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C9E5098" w:rsidR="00ED7E12" w:rsidRPr="00CF2E7C" w:rsidRDefault="00A50A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884DA9"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884DA9" w:rsidRPr="00CF2E7C" w:rsidRDefault="00884DA9" w:rsidP="00884DA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8FD87B" w14:textId="6EA2F5C7" w:rsidR="00884DA9" w:rsidRDefault="00884DA9" w:rsidP="00884DA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For the self-reporting by targeted entities, Article 30 of the IORP II Directive states that: “</w:t>
            </w:r>
            <w:r w:rsidRPr="00FB64C0">
              <w:rPr>
                <w:rFonts w:ascii="Calibri" w:eastAsia="Times New Roman" w:hAnsi="Calibri" w:cs="Calibri"/>
                <w:i/>
                <w:iCs/>
                <w:kern w:val="0"/>
                <w:lang w:eastAsia="en-GB"/>
                <w14:ligatures w14:val="none"/>
              </w:rPr>
              <w:t>Member States shall ensure that every IORP registered or authorised in  their territories prepares and, at least every three years, reviews a  written statement of investment-policy principles. That statement is to  be revised without delay after any significant change in the investment  policy. Member States shall provide for this statement to contain, at  least, such matters as the investment risk measurement methods, the  risk-management processes implemented and the strategic asset allocation with respect to the nature and duration of pension liabilities  and how the investment policy takes environmental, social and  governance factors into account. The statement shall be made  publicly available</w:t>
            </w:r>
            <w:r>
              <w:rPr>
                <w:rFonts w:ascii="Calibri" w:eastAsia="Times New Roman" w:hAnsi="Calibri" w:cs="Calibri"/>
                <w:i/>
                <w:iCs/>
                <w:kern w:val="0"/>
                <w:lang w:eastAsia="en-GB"/>
                <w14:ligatures w14:val="none"/>
              </w:rPr>
              <w:t>.</w:t>
            </w:r>
            <w:r>
              <w:rPr>
                <w:rFonts w:ascii="Calibri" w:eastAsia="Times New Roman" w:hAnsi="Calibri" w:cs="Calibri"/>
                <w:kern w:val="0"/>
                <w:lang w:eastAsia="en-GB"/>
                <w14:ligatures w14:val="none"/>
              </w:rPr>
              <w:t>” Article 24 5. Also states that: “</w:t>
            </w:r>
            <w:r w:rsidRPr="00884DA9">
              <w:rPr>
                <w:rFonts w:ascii="Calibri" w:eastAsia="Times New Roman" w:hAnsi="Calibri" w:cs="Calibri"/>
                <w:i/>
                <w:iCs/>
                <w:kern w:val="0"/>
                <w:lang w:eastAsia="en-GB"/>
                <w14:ligatures w14:val="none"/>
              </w:rPr>
              <w:t>Without prejudice to the privilege against self-incrimination, the holder of a key function shall inform the competent authority of the IORP if the administrative, management or supervisory body of the IORP does not take appropriate and timely remedial action</w:t>
            </w:r>
            <w:r>
              <w:rPr>
                <w:rFonts w:ascii="Calibri" w:eastAsia="Times New Roman" w:hAnsi="Calibri" w:cs="Calibri"/>
                <w:kern w:val="0"/>
                <w:lang w:eastAsia="en-GB"/>
                <w14:ligatures w14:val="none"/>
              </w:rPr>
              <w:t>”.</w:t>
            </w:r>
          </w:p>
          <w:p w14:paraId="2070C47F" w14:textId="77777777" w:rsidR="00884DA9" w:rsidRDefault="00884DA9" w:rsidP="00884DA9">
            <w:pPr>
              <w:textAlignment w:val="baseline"/>
              <w:rPr>
                <w:rFonts w:ascii="Calibri" w:eastAsia="Times New Roman" w:hAnsi="Calibri" w:cs="Calibri"/>
                <w:kern w:val="0"/>
                <w:lang w:eastAsia="en-GB"/>
                <w14:ligatures w14:val="none"/>
              </w:rPr>
            </w:pPr>
          </w:p>
          <w:p w14:paraId="42FF8A1B" w14:textId="212EFF80" w:rsidR="00884DA9" w:rsidRPr="00CF2E7C" w:rsidRDefault="00884DA9" w:rsidP="00884DA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For the regulatory oversight by financial supervisor, Article 47 1. of the IORP II Directive states that: “ </w:t>
            </w:r>
            <w:r w:rsidRPr="00A72F3F">
              <w:rPr>
                <w:rFonts w:ascii="Calibri" w:eastAsia="Times New Roman" w:hAnsi="Calibri" w:cs="Calibri"/>
                <w:i/>
                <w:iCs/>
                <w:kern w:val="0"/>
                <w:lang w:eastAsia="en-GB"/>
                <w14:ligatures w14:val="none"/>
              </w:rPr>
              <w:t>The competent authorities of the home Member State shall be responsible for the prudential supervision of IORPs.</w:t>
            </w:r>
            <w:r>
              <w:rPr>
                <w:rFonts w:ascii="Calibri" w:eastAsia="Times New Roman" w:hAnsi="Calibri" w:cs="Calibri"/>
                <w:kern w:val="0"/>
                <w:lang w:eastAsia="en-GB"/>
                <w14:ligatures w14:val="none"/>
              </w:rPr>
              <w:t xml:space="preserve">” It defines the scope of the prudential supervision (Article 46), which follows a forward-looking and risk-based approach (Article 47 2.). It also defines the powers and duties of the supervision authorities (Article 48), the information that have to be provided to them (Article 50), the supervisory review process (Article 49) and the fact that the authorities shall conduct their task </w:t>
            </w:r>
            <w:r w:rsidRPr="003F7787">
              <w:rPr>
                <w:rFonts w:ascii="Calibri" w:eastAsia="Times New Roman" w:hAnsi="Calibri" w:cs="Calibri"/>
                <w:kern w:val="0"/>
                <w:lang w:eastAsia="en-GB"/>
                <w14:ligatures w14:val="none"/>
              </w:rPr>
              <w:t>in a transparent, independent and accountable manner with due respect for the protection of confidential information</w:t>
            </w:r>
            <w:r>
              <w:rPr>
                <w:rFonts w:ascii="Calibri" w:eastAsia="Times New Roman" w:hAnsi="Calibri" w:cs="Calibri"/>
                <w:kern w:val="0"/>
                <w:lang w:eastAsia="en-GB"/>
                <w14:ligatures w14:val="none"/>
              </w:rPr>
              <w:t xml:space="preserve"> (Article 51).</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60C7309A" w:rsidR="00702413" w:rsidRPr="00CF2E7C" w:rsidRDefault="002540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4B8B2E05" w:rsidR="00702413" w:rsidRPr="00CF2E7C" w:rsidRDefault="002540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1A6F07D7" w:rsidR="00702413" w:rsidRPr="00CF2E7C" w:rsidRDefault="002540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1BEC92EB" w:rsidR="00702413" w:rsidRPr="00CF2E7C" w:rsidRDefault="002540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68E2468" w:rsidR="00702413" w:rsidRPr="00CF2E7C" w:rsidRDefault="002540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5834A441" w:rsidR="00702413" w:rsidRPr="00CF2E7C" w:rsidRDefault="002540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4BBFF395" w:rsidR="00702413" w:rsidRPr="00CF2E7C" w:rsidRDefault="002540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3710DDA" w14:textId="2681A6E0" w:rsidR="002E5987" w:rsidRPr="002E5987" w:rsidRDefault="002E5987" w:rsidP="002E5987">
            <w:pPr>
              <w:textAlignment w:val="baseline"/>
              <w:rPr>
                <w:rFonts w:ascii="Calibri" w:eastAsia="Times New Roman" w:hAnsi="Calibri" w:cs="Calibri"/>
                <w:kern w:val="0"/>
                <w:lang w:eastAsia="en-GB"/>
                <w14:ligatures w14:val="none"/>
              </w:rPr>
            </w:pPr>
            <w:r w:rsidRPr="002E5987">
              <w:rPr>
                <w:rFonts w:ascii="Calibri" w:eastAsia="Times New Roman" w:hAnsi="Calibri" w:cs="Calibri"/>
                <w:kern w:val="0"/>
                <w:lang w:eastAsia="en-GB"/>
                <w14:ligatures w14:val="none"/>
              </w:rPr>
              <w:t xml:space="preserve">The IORP II Directive requires IORPs to take into consideration sustainability factors and risks in the following areas: </w:t>
            </w:r>
          </w:p>
          <w:p w14:paraId="56395175" w14:textId="62914B3A" w:rsidR="002E5987" w:rsidRDefault="002E5987" w:rsidP="002E5987">
            <w:pPr>
              <w:pStyle w:val="ListParagraph"/>
              <w:numPr>
                <w:ilvl w:val="0"/>
                <w:numId w:val="53"/>
              </w:numPr>
              <w:textAlignment w:val="baseline"/>
              <w:rPr>
                <w:rFonts w:ascii="Calibri" w:eastAsia="Times New Roman" w:hAnsi="Calibri" w:cs="Calibri"/>
                <w:kern w:val="0"/>
                <w:lang w:eastAsia="en-GB"/>
                <w14:ligatures w14:val="none"/>
              </w:rPr>
            </w:pPr>
            <w:r w:rsidRPr="00C35D3E">
              <w:rPr>
                <w:rFonts w:ascii="Calibri" w:eastAsia="Times New Roman" w:hAnsi="Calibri" w:cs="Calibri"/>
                <w:i/>
                <w:iCs/>
                <w:kern w:val="0"/>
                <w:lang w:eastAsia="en-GB"/>
                <w14:ligatures w14:val="none"/>
              </w:rPr>
              <w:t>The system of governance</w:t>
            </w:r>
            <w:r>
              <w:rPr>
                <w:rFonts w:ascii="Calibri" w:eastAsia="Times New Roman" w:hAnsi="Calibri" w:cs="Calibri"/>
                <w:kern w:val="0"/>
                <w:lang w:eastAsia="en-GB"/>
                <w14:ligatures w14:val="none"/>
              </w:rPr>
              <w:t xml:space="preserve">: </w:t>
            </w:r>
            <w:r w:rsidRPr="002E5987">
              <w:rPr>
                <w:rFonts w:ascii="Calibri" w:eastAsia="Times New Roman" w:hAnsi="Calibri" w:cs="Calibri"/>
                <w:kern w:val="0"/>
                <w:lang w:eastAsia="en-GB"/>
                <w14:ligatures w14:val="none"/>
              </w:rPr>
              <w:t>The Directive states that “</w:t>
            </w:r>
            <w:r w:rsidRPr="002E5987">
              <w:rPr>
                <w:rFonts w:ascii="Calibri" w:eastAsia="Times New Roman" w:hAnsi="Calibri" w:cs="Calibri"/>
                <w:i/>
                <w:iCs/>
                <w:kern w:val="0"/>
                <w:lang w:eastAsia="en-GB"/>
                <w14:ligatures w14:val="none"/>
              </w:rPr>
              <w:t>the system of governance shall include consideration of environmental, social and governance factors related to investment assets in investment decisions, and shall be subject to regular internal review</w:t>
            </w:r>
            <w:r w:rsidRPr="002E5987">
              <w:rPr>
                <w:rFonts w:ascii="Calibri" w:eastAsia="Times New Roman" w:hAnsi="Calibri" w:cs="Calibri"/>
                <w:kern w:val="0"/>
                <w:lang w:eastAsia="en-GB"/>
                <w14:ligatures w14:val="none"/>
              </w:rPr>
              <w:t>” (Article 21).</w:t>
            </w:r>
          </w:p>
          <w:p w14:paraId="27E9CD14" w14:textId="7BE2CF05" w:rsidR="00E36346" w:rsidRPr="00D4184B" w:rsidRDefault="002E5987" w:rsidP="002E5987">
            <w:pPr>
              <w:pStyle w:val="ListParagraph"/>
              <w:numPr>
                <w:ilvl w:val="0"/>
                <w:numId w:val="53"/>
              </w:numPr>
              <w:textAlignment w:val="baseline"/>
              <w:rPr>
                <w:rFonts w:ascii="Calibri" w:eastAsia="Times New Roman" w:hAnsi="Calibri" w:cs="Calibri"/>
                <w:kern w:val="0"/>
                <w:lang w:eastAsia="en-GB"/>
                <w14:ligatures w14:val="none"/>
              </w:rPr>
            </w:pPr>
            <w:r w:rsidRPr="00C35D3E">
              <w:rPr>
                <w:rFonts w:ascii="Calibri" w:eastAsia="Times New Roman" w:hAnsi="Calibri" w:cs="Calibri"/>
                <w:i/>
                <w:iCs/>
                <w:kern w:val="0"/>
                <w:lang w:eastAsia="en-GB"/>
                <w14:ligatures w14:val="none"/>
              </w:rPr>
              <w:t>The risk management and the own-risk assessment</w:t>
            </w:r>
            <w:r>
              <w:rPr>
                <w:rFonts w:ascii="Calibri" w:eastAsia="Times New Roman" w:hAnsi="Calibri" w:cs="Calibri"/>
                <w:kern w:val="0"/>
                <w:lang w:eastAsia="en-GB"/>
                <w14:ligatures w14:val="none"/>
              </w:rPr>
              <w:t xml:space="preserve">: </w:t>
            </w:r>
            <w:r w:rsidR="00D4184B">
              <w:rPr>
                <w:rFonts w:ascii="Calibri" w:eastAsia="Times New Roman" w:hAnsi="Calibri" w:cs="Calibri"/>
                <w:kern w:val="0"/>
                <w:lang w:eastAsia="en-GB"/>
                <w14:ligatures w14:val="none"/>
              </w:rPr>
              <w:t>Th</w:t>
            </w:r>
            <w:r>
              <w:rPr>
                <w:rFonts w:ascii="Calibri" w:eastAsia="Times New Roman" w:hAnsi="Calibri" w:cs="Calibri"/>
                <w:kern w:val="0"/>
                <w:lang w:eastAsia="en-GB"/>
                <w14:ligatures w14:val="none"/>
              </w:rPr>
              <w:t>e</w:t>
            </w:r>
            <w:r w:rsidR="00D4184B">
              <w:rPr>
                <w:rFonts w:ascii="Calibri" w:eastAsia="Times New Roman" w:hAnsi="Calibri" w:cs="Calibri"/>
                <w:kern w:val="0"/>
                <w:lang w:eastAsia="en-GB"/>
                <w14:ligatures w14:val="none"/>
              </w:rPr>
              <w:t xml:space="preserve"> Directive</w:t>
            </w:r>
            <w:r w:rsidR="005017EF">
              <w:rPr>
                <w:rFonts w:ascii="Calibri" w:eastAsia="Times New Roman" w:hAnsi="Calibri" w:cs="Calibri"/>
                <w:kern w:val="0"/>
                <w:lang w:eastAsia="en-GB"/>
                <w14:ligatures w14:val="none"/>
              </w:rPr>
              <w:t xml:space="preserve"> s</w:t>
            </w:r>
            <w:r>
              <w:rPr>
                <w:rFonts w:ascii="Calibri" w:eastAsia="Times New Roman" w:hAnsi="Calibri" w:cs="Calibri"/>
                <w:kern w:val="0"/>
                <w:lang w:eastAsia="en-GB"/>
                <w14:ligatures w14:val="none"/>
              </w:rPr>
              <w:t xml:space="preserve">tates </w:t>
            </w:r>
            <w:r w:rsidR="0025400F" w:rsidRPr="00D4184B">
              <w:rPr>
                <w:rFonts w:ascii="Calibri" w:eastAsia="Times New Roman" w:hAnsi="Calibri" w:cs="Calibri"/>
                <w:kern w:val="0"/>
                <w:lang w:eastAsia="en-GB"/>
                <w14:ligatures w14:val="none"/>
              </w:rPr>
              <w:t>that the regulated entities mus</w:t>
            </w:r>
            <w:r w:rsidR="00CA4501" w:rsidRPr="00D4184B">
              <w:rPr>
                <w:rFonts w:ascii="Calibri" w:eastAsia="Times New Roman" w:hAnsi="Calibri" w:cs="Calibri"/>
                <w:kern w:val="0"/>
                <w:lang w:eastAsia="en-GB"/>
                <w14:ligatures w14:val="none"/>
              </w:rPr>
              <w:t>t</w:t>
            </w:r>
            <w:r w:rsidR="0025400F" w:rsidRPr="00D4184B">
              <w:rPr>
                <w:rFonts w:ascii="Calibri" w:eastAsia="Times New Roman" w:hAnsi="Calibri" w:cs="Calibri"/>
                <w:kern w:val="0"/>
                <w:lang w:eastAsia="en-GB"/>
                <w14:ligatures w14:val="none"/>
              </w:rPr>
              <w:t xml:space="preserve"> “</w:t>
            </w:r>
            <w:r w:rsidR="0025400F" w:rsidRPr="00D4184B">
              <w:rPr>
                <w:rFonts w:ascii="Calibri" w:eastAsia="Times New Roman" w:hAnsi="Calibri" w:cs="Calibri"/>
                <w:i/>
                <w:iCs/>
                <w:kern w:val="0"/>
                <w:lang w:eastAsia="en-GB"/>
                <w14:ligatures w14:val="none"/>
              </w:rPr>
              <w:t>have in place an effective risk-management function</w:t>
            </w:r>
            <w:r w:rsidR="0025400F" w:rsidRPr="00D4184B">
              <w:rPr>
                <w:rFonts w:ascii="Calibri" w:eastAsia="Times New Roman" w:hAnsi="Calibri" w:cs="Calibri"/>
                <w:kern w:val="0"/>
                <w:lang w:eastAsia="en-GB"/>
                <w14:ligatures w14:val="none"/>
              </w:rPr>
              <w:t>”</w:t>
            </w:r>
            <w:r w:rsidR="00CA4501" w:rsidRPr="00D4184B">
              <w:rPr>
                <w:rFonts w:ascii="Calibri" w:eastAsia="Times New Roman" w:hAnsi="Calibri" w:cs="Calibri"/>
                <w:kern w:val="0"/>
                <w:lang w:eastAsia="en-GB"/>
                <w14:ligatures w14:val="none"/>
              </w:rPr>
              <w:t xml:space="preserve"> (Article 25 1.) </w:t>
            </w:r>
            <w:r w:rsidR="005017EF">
              <w:rPr>
                <w:rFonts w:ascii="Calibri" w:eastAsia="Times New Roman" w:hAnsi="Calibri" w:cs="Calibri"/>
                <w:kern w:val="0"/>
                <w:lang w:eastAsia="en-GB"/>
                <w14:ligatures w14:val="none"/>
              </w:rPr>
              <w:t>which</w:t>
            </w:r>
            <w:r w:rsidR="00CA4501" w:rsidRPr="00D4184B">
              <w:rPr>
                <w:rFonts w:ascii="Calibri" w:eastAsia="Times New Roman" w:hAnsi="Calibri" w:cs="Calibri"/>
                <w:kern w:val="0"/>
                <w:lang w:eastAsia="en-GB"/>
                <w14:ligatures w14:val="none"/>
              </w:rPr>
              <w:t xml:space="preserve"> shall cover “</w:t>
            </w:r>
            <w:r w:rsidR="00CA4501" w:rsidRPr="00D4184B">
              <w:rPr>
                <w:rFonts w:ascii="Calibri" w:eastAsia="Times New Roman" w:hAnsi="Calibri" w:cs="Calibri"/>
                <w:i/>
                <w:iCs/>
                <w:kern w:val="0"/>
                <w:lang w:eastAsia="en-GB"/>
                <w14:ligatures w14:val="none"/>
              </w:rPr>
              <w:t>environmental, social and governance risks relating to the investment portfolio and the management thereof</w:t>
            </w:r>
            <w:r w:rsidR="00CA4501" w:rsidRPr="00D4184B">
              <w:rPr>
                <w:rFonts w:ascii="Calibri" w:eastAsia="Times New Roman" w:hAnsi="Calibri" w:cs="Calibri"/>
                <w:kern w:val="0"/>
                <w:lang w:eastAsia="en-GB"/>
                <w14:ligatures w14:val="none"/>
              </w:rPr>
              <w:t>” (Article 25 2. g)</w:t>
            </w:r>
            <w:r w:rsidR="00D4184B" w:rsidRPr="00D4184B">
              <w:rPr>
                <w:rFonts w:ascii="Calibri" w:eastAsia="Times New Roman" w:hAnsi="Calibri" w:cs="Calibri"/>
                <w:kern w:val="0"/>
                <w:lang w:eastAsia="en-GB"/>
                <w14:ligatures w14:val="none"/>
              </w:rPr>
              <w:t>. They</w:t>
            </w:r>
            <w:r w:rsidR="005017EF">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also </w:t>
            </w:r>
            <w:r w:rsidR="00D4184B" w:rsidRPr="00D4184B">
              <w:rPr>
                <w:rFonts w:ascii="Calibri" w:eastAsia="Times New Roman" w:hAnsi="Calibri" w:cs="Calibri"/>
                <w:kern w:val="0"/>
                <w:lang w:eastAsia="en-GB"/>
                <w14:ligatures w14:val="none"/>
              </w:rPr>
              <w:t>must</w:t>
            </w:r>
            <w:r w:rsidR="00CA4501" w:rsidRPr="00D4184B">
              <w:rPr>
                <w:rFonts w:ascii="Calibri" w:eastAsia="Times New Roman" w:hAnsi="Calibri" w:cs="Calibri"/>
                <w:kern w:val="0"/>
                <w:lang w:eastAsia="en-GB"/>
                <w14:ligatures w14:val="none"/>
              </w:rPr>
              <w:t xml:space="preserve"> </w:t>
            </w:r>
            <w:r w:rsidR="00CA4501" w:rsidRPr="00D4184B">
              <w:rPr>
                <w:rFonts w:ascii="Calibri" w:eastAsia="Times New Roman" w:hAnsi="Calibri" w:cs="Calibri"/>
                <w:kern w:val="0"/>
                <w:lang w:eastAsia="en-GB"/>
                <w14:ligatures w14:val="none"/>
              </w:rPr>
              <w:lastRenderedPageBreak/>
              <w:t>“</w:t>
            </w:r>
            <w:r w:rsidR="00CA4501" w:rsidRPr="00D4184B">
              <w:rPr>
                <w:rFonts w:ascii="Calibri" w:eastAsia="Times New Roman" w:hAnsi="Calibri" w:cs="Calibri"/>
                <w:i/>
                <w:iCs/>
                <w:kern w:val="0"/>
                <w:lang w:eastAsia="en-GB"/>
                <w14:ligatures w14:val="none"/>
              </w:rPr>
              <w:t>carry out and document their own-risk assessment</w:t>
            </w:r>
            <w:r w:rsidR="00CA4501" w:rsidRPr="00D4184B">
              <w:rPr>
                <w:rFonts w:ascii="Calibri" w:eastAsia="Times New Roman" w:hAnsi="Calibri" w:cs="Calibri"/>
                <w:kern w:val="0"/>
                <w:lang w:eastAsia="en-GB"/>
                <w14:ligatures w14:val="none"/>
              </w:rPr>
              <w:t>”</w:t>
            </w:r>
            <w:r w:rsidR="00D4184B" w:rsidRPr="00D4184B">
              <w:rPr>
                <w:rFonts w:ascii="Calibri" w:eastAsia="Times New Roman" w:hAnsi="Calibri" w:cs="Calibri"/>
                <w:kern w:val="0"/>
                <w:lang w:eastAsia="en-GB"/>
                <w14:ligatures w14:val="none"/>
              </w:rPr>
              <w:t xml:space="preserve"> (Article 28) which includes </w:t>
            </w:r>
            <w:r w:rsidR="00206829" w:rsidRPr="00D4184B">
              <w:rPr>
                <w:rFonts w:ascii="Calibri" w:eastAsia="Times New Roman" w:hAnsi="Calibri" w:cs="Calibri"/>
                <w:kern w:val="0"/>
                <w:lang w:eastAsia="en-GB"/>
                <w14:ligatures w14:val="none"/>
              </w:rPr>
              <w:t>“</w:t>
            </w:r>
            <w:r w:rsidR="00206829" w:rsidRPr="00D4184B">
              <w:rPr>
                <w:rFonts w:ascii="Calibri" w:eastAsia="Times New Roman" w:hAnsi="Calibri" w:cs="Calibri"/>
                <w:i/>
                <w:iCs/>
                <w:kern w:val="0"/>
                <w:lang w:eastAsia="en-GB"/>
                <w14:ligatures w14:val="none"/>
              </w:rPr>
              <w:t>where environmental, social and governance factors are considered in investment decisions, an assessment of new or emerging risks, including risks related to climate change, use of resources and the environment, social risks and risks related to the depreciation of assets due to regulatory change</w:t>
            </w:r>
            <w:r w:rsidR="00206829" w:rsidRPr="00D4184B">
              <w:rPr>
                <w:rFonts w:ascii="Calibri" w:eastAsia="Times New Roman" w:hAnsi="Calibri" w:cs="Calibri"/>
                <w:kern w:val="0"/>
                <w:lang w:eastAsia="en-GB"/>
                <w14:ligatures w14:val="none"/>
              </w:rPr>
              <w:t>” (Article 28 2. h).</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45447999" w:rsidR="00C82860" w:rsidRPr="00CF2E7C" w:rsidRDefault="00A80A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3E4D4F71" w:rsidR="00C82860" w:rsidRPr="00CF2E7C" w:rsidRDefault="00A80AEF" w:rsidP="0040780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Pursuant to Article 30 of the </w:t>
            </w:r>
            <w:r w:rsidR="0050185E">
              <w:rPr>
                <w:rFonts w:ascii="Calibri" w:eastAsia="Times New Roman" w:hAnsi="Calibri" w:cs="Calibri"/>
                <w:kern w:val="0"/>
                <w:lang w:eastAsia="en-GB"/>
                <w14:ligatures w14:val="none"/>
              </w:rPr>
              <w:t xml:space="preserve">IORP II </w:t>
            </w:r>
            <w:r>
              <w:rPr>
                <w:rFonts w:ascii="Calibri" w:eastAsia="Times New Roman" w:hAnsi="Calibri" w:cs="Calibri"/>
                <w:kern w:val="0"/>
                <w:lang w:eastAsia="en-GB"/>
                <w14:ligatures w14:val="none"/>
              </w:rPr>
              <w:t xml:space="preserve">Directive, </w:t>
            </w:r>
            <w:r w:rsidR="00407803">
              <w:rPr>
                <w:rFonts w:ascii="Calibri" w:eastAsia="Times New Roman" w:hAnsi="Calibri" w:cs="Calibri"/>
                <w:kern w:val="0"/>
                <w:lang w:eastAsia="en-GB"/>
                <w14:ligatures w14:val="none"/>
              </w:rPr>
              <w:t xml:space="preserve">the regulated entities must prepare and, at least every three years (or without delay after any significant change in the investment policy), review a written statement of investment-policy principles that contains at least </w:t>
            </w:r>
            <w:r w:rsidR="00407803" w:rsidRPr="00407803">
              <w:rPr>
                <w:rFonts w:ascii="Calibri" w:eastAsia="Times New Roman" w:hAnsi="Calibri" w:cs="Calibri"/>
                <w:kern w:val="0"/>
                <w:lang w:eastAsia="en-GB"/>
                <w14:ligatures w14:val="none"/>
              </w:rPr>
              <w:t>such matters as the investment risk measurement methods, the risk-management processes implemented and the strategic asset allocation with respect to the nature and duration of pension liabilities</w:t>
            </w:r>
            <w:r w:rsidR="00407803">
              <w:rPr>
                <w:rFonts w:ascii="Calibri" w:eastAsia="Times New Roman" w:hAnsi="Calibri" w:cs="Calibri"/>
                <w:kern w:val="0"/>
                <w:lang w:eastAsia="en-GB"/>
                <w14:ligatures w14:val="none"/>
              </w:rPr>
              <w:t xml:space="preserve"> </w:t>
            </w:r>
            <w:r w:rsidR="00407803" w:rsidRPr="00407803">
              <w:rPr>
                <w:rFonts w:ascii="Calibri" w:eastAsia="Times New Roman" w:hAnsi="Calibri" w:cs="Calibri"/>
                <w:kern w:val="0"/>
                <w:lang w:eastAsia="en-GB"/>
                <w14:ligatures w14:val="none"/>
              </w:rPr>
              <w:t>and how the investment policy takes environmental, social and governance factors into account. The statement shall be made publicly available.</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33E2467" w:rsidR="00C82860" w:rsidRPr="00CF2E7C" w:rsidRDefault="00364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4123EC8B" w:rsidR="00C82860" w:rsidRPr="00CF2E7C" w:rsidRDefault="00364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344F7A47" w:rsidR="00C82860" w:rsidRPr="00CF2E7C" w:rsidRDefault="00364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33725A02" w:rsidR="00C82860" w:rsidRPr="00CF2E7C" w:rsidRDefault="00364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59E4C30E" w:rsidR="00C82860" w:rsidRPr="00CF2E7C" w:rsidRDefault="00364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1C9FE076" w:rsidR="00C82860" w:rsidRPr="00CF2E7C" w:rsidRDefault="00364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1DB28C4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65BD7FF3" w:rsidR="00F26296" w:rsidRPr="00CF2E7C" w:rsidRDefault="00364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572A4998" w:rsidR="00F26296" w:rsidRPr="00CF2E7C" w:rsidRDefault="00364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60523B5E" w:rsidR="00F26296" w:rsidRPr="00CF2E7C" w:rsidRDefault="00364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5399C7C6" w:rsidR="00F26296" w:rsidRPr="00CF2E7C" w:rsidRDefault="00364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4D91CFA5" w:rsidR="00B114FD" w:rsidRPr="00CF2E7C" w:rsidRDefault="00364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DD7C92D" w:rsidR="00B114FD" w:rsidRPr="00CF2E7C" w:rsidRDefault="00364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2F1823BD" w:rsidR="00702413" w:rsidRPr="009C4D10" w:rsidRDefault="003640E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50F4595" w14:textId="1EC8E551" w:rsidR="00374557" w:rsidRPr="00E25052" w:rsidRDefault="00374557" w:rsidP="00E25052">
            <w:pPr>
              <w:textAlignment w:val="baseline"/>
              <w:rPr>
                <w:rFonts w:ascii="Calibri" w:hAnsi="Calibri" w:cs="Calibri"/>
                <w:color w:val="0563C1" w:themeColor="hyperlink"/>
                <w:u w:val="single"/>
              </w:rPr>
            </w:pPr>
            <w:r>
              <w:rPr>
                <w:rFonts w:eastAsia="Times New Roman" w:cstheme="minorHAnsi"/>
                <w:kern w:val="0"/>
                <w:lang w:eastAsia="en-GB"/>
                <w14:ligatures w14:val="none"/>
              </w:rPr>
              <w:t>I</w:t>
            </w:r>
            <w:r w:rsidRPr="00374557">
              <w:rPr>
                <w:rFonts w:eastAsia="Times New Roman" w:cstheme="minorHAnsi"/>
                <w:kern w:val="0"/>
                <w:lang w:eastAsia="en-GB"/>
                <w14:ligatures w14:val="none"/>
              </w:rPr>
              <w:t>n the area of prudential and governance standards</w:t>
            </w:r>
            <w:r>
              <w:rPr>
                <w:rFonts w:eastAsia="Times New Roman" w:cstheme="minorHAnsi"/>
                <w:kern w:val="0"/>
                <w:lang w:eastAsia="en-GB"/>
                <w14:ligatures w14:val="none"/>
              </w:rPr>
              <w:t xml:space="preserve">, </w:t>
            </w:r>
            <w:r w:rsidRPr="00374557">
              <w:rPr>
                <w:rFonts w:eastAsia="Times New Roman" w:cstheme="minorHAnsi"/>
                <w:kern w:val="0"/>
                <w:lang w:eastAsia="en-GB"/>
                <w14:ligatures w14:val="none"/>
              </w:rPr>
              <w:t xml:space="preserve">EIOPA </w:t>
            </w:r>
            <w:r w:rsidR="00CA6FF3" w:rsidRPr="00CA6FF3">
              <w:rPr>
                <w:rFonts w:eastAsia="Times New Roman" w:cstheme="minorHAnsi"/>
                <w:kern w:val="0"/>
                <w:lang w:eastAsia="en-GB"/>
                <w14:ligatures w14:val="none"/>
              </w:rPr>
              <w:t xml:space="preserve">recommends in its </w:t>
            </w:r>
            <w:r w:rsidR="00E25052" w:rsidRPr="00C67C19">
              <w:rPr>
                <w:rFonts w:ascii="Calibri" w:hAnsi="Calibri" w:cs="Calibri"/>
              </w:rPr>
              <w:t>“</w:t>
            </w:r>
            <w:hyperlink r:id="rId19" w:history="1">
              <w:r w:rsidR="00E25052">
                <w:rPr>
                  <w:rStyle w:val="Hyperlink"/>
                  <w:rFonts w:ascii="Calibri" w:hAnsi="Calibri" w:cs="Calibri"/>
                </w:rPr>
                <w:t>Te</w:t>
              </w:r>
              <w:r w:rsidR="00E25052" w:rsidRPr="00C67C19">
                <w:rPr>
                  <w:rStyle w:val="Hyperlink"/>
                  <w:rFonts w:ascii="Calibri" w:hAnsi="Calibri" w:cs="Calibri"/>
                </w:rPr>
                <w:t>chnical advice for the review of the IORP II Directive</w:t>
              </w:r>
            </w:hyperlink>
            <w:r w:rsidR="00E25052">
              <w:rPr>
                <w:rFonts w:eastAsia="Times New Roman" w:cstheme="minorHAnsi"/>
                <w:kern w:val="0"/>
                <w:lang w:eastAsia="en-GB"/>
                <w14:ligatures w14:val="none"/>
              </w:rPr>
              <w:t>” t</w:t>
            </w:r>
            <w:r w:rsidR="00871189" w:rsidRPr="00871189">
              <w:rPr>
                <w:rFonts w:eastAsia="Times New Roman" w:cstheme="minorHAnsi"/>
                <w:kern w:val="0"/>
                <w:lang w:eastAsia="en-GB"/>
                <w14:ligatures w14:val="none"/>
              </w:rPr>
              <w:t>hat</w:t>
            </w:r>
            <w:r>
              <w:rPr>
                <w:rFonts w:eastAsia="Times New Roman" w:cstheme="minorHAnsi"/>
                <w:kern w:val="0"/>
                <w:lang w:eastAsia="en-GB"/>
                <w14:ligatures w14:val="none"/>
              </w:rPr>
              <w:t>:</w:t>
            </w:r>
          </w:p>
          <w:p w14:paraId="36FC8E83" w14:textId="1AB4E462" w:rsidR="00E25052" w:rsidRDefault="00FA47AE" w:rsidP="00E25052">
            <w:pPr>
              <w:pStyle w:val="ListParagraph"/>
              <w:numPr>
                <w:ilvl w:val="0"/>
                <w:numId w:val="53"/>
              </w:numPr>
              <w:textAlignment w:val="baseline"/>
              <w:rPr>
                <w:rFonts w:eastAsia="Times New Roman" w:cstheme="minorHAnsi"/>
                <w:kern w:val="0"/>
                <w:lang w:eastAsia="en-GB"/>
                <w14:ligatures w14:val="none"/>
              </w:rPr>
            </w:pPr>
            <w:r w:rsidRPr="00FA47AE">
              <w:rPr>
                <w:rFonts w:eastAsia="Times New Roman" w:cstheme="minorHAnsi"/>
                <w:i/>
                <w:iCs/>
                <w:kern w:val="0"/>
                <w:lang w:eastAsia="en-GB"/>
                <w14:ligatures w14:val="none"/>
              </w:rPr>
              <w:lastRenderedPageBreak/>
              <w:t>Proportionality</w:t>
            </w:r>
            <w:r>
              <w:rPr>
                <w:rFonts w:eastAsia="Times New Roman" w:cstheme="minorHAnsi"/>
                <w:kern w:val="0"/>
                <w:lang w:eastAsia="en-GB"/>
                <w14:ligatures w14:val="none"/>
              </w:rPr>
              <w:t xml:space="preserve">: </w:t>
            </w:r>
            <w:r w:rsidR="00CA6FF3">
              <w:rPr>
                <w:rFonts w:eastAsia="Times New Roman" w:cstheme="minorHAnsi"/>
                <w:kern w:val="0"/>
                <w:lang w:eastAsia="en-GB"/>
                <w14:ligatures w14:val="none"/>
              </w:rPr>
              <w:t>G</w:t>
            </w:r>
            <w:r w:rsidR="00871189" w:rsidRPr="00374557">
              <w:rPr>
                <w:rFonts w:eastAsia="Times New Roman" w:cstheme="minorHAnsi"/>
                <w:kern w:val="0"/>
                <w:lang w:eastAsia="en-GB"/>
                <w14:ligatures w14:val="none"/>
              </w:rPr>
              <w:t xml:space="preserve">overnance and prudential standards </w:t>
            </w:r>
            <w:r w:rsidR="00CA6FF3" w:rsidRPr="00CA6FF3">
              <w:rPr>
                <w:rFonts w:eastAsia="Times New Roman" w:cstheme="minorHAnsi"/>
                <w:kern w:val="0"/>
                <w:lang w:eastAsia="en-GB"/>
                <w14:ligatures w14:val="none"/>
              </w:rPr>
              <w:t>be applied</w:t>
            </w:r>
            <w:r w:rsidR="00CA6FF3">
              <w:rPr>
                <w:rFonts w:eastAsia="Times New Roman" w:cstheme="minorHAnsi"/>
                <w:kern w:val="0"/>
                <w:lang w:eastAsia="en-GB"/>
                <w14:ligatures w14:val="none"/>
              </w:rPr>
              <w:t xml:space="preserve"> </w:t>
            </w:r>
            <w:r w:rsidR="00871189" w:rsidRPr="00374557">
              <w:rPr>
                <w:rFonts w:eastAsia="Times New Roman" w:cstheme="minorHAnsi"/>
                <w:kern w:val="0"/>
                <w:lang w:eastAsia="en-GB"/>
                <w14:ligatures w14:val="none"/>
              </w:rPr>
              <w:t>in a manner that is proportionate to the risk profile of IORPs – and not to their size</w:t>
            </w:r>
            <w:r w:rsidR="00374557">
              <w:rPr>
                <w:rFonts w:eastAsia="Times New Roman" w:cstheme="minorHAnsi"/>
                <w:kern w:val="0"/>
                <w:lang w:eastAsia="en-GB"/>
                <w14:ligatures w14:val="none"/>
              </w:rPr>
              <w:t>, and</w:t>
            </w:r>
          </w:p>
          <w:p w14:paraId="718D87F5" w14:textId="178E8533" w:rsidR="00871189" w:rsidRPr="00E25052" w:rsidRDefault="00FA47AE" w:rsidP="00E25052">
            <w:pPr>
              <w:pStyle w:val="ListParagraph"/>
              <w:numPr>
                <w:ilvl w:val="0"/>
                <w:numId w:val="53"/>
              </w:numPr>
              <w:textAlignment w:val="baseline"/>
              <w:rPr>
                <w:rFonts w:eastAsia="Times New Roman" w:cstheme="minorHAnsi"/>
                <w:kern w:val="0"/>
                <w:lang w:eastAsia="en-GB"/>
                <w14:ligatures w14:val="none"/>
              </w:rPr>
            </w:pPr>
            <w:r>
              <w:rPr>
                <w:rFonts w:eastAsia="Times New Roman" w:cstheme="minorHAnsi"/>
                <w:i/>
                <w:iCs/>
                <w:kern w:val="0"/>
                <w:lang w:eastAsia="en-GB"/>
                <w14:ligatures w14:val="none"/>
              </w:rPr>
              <w:t>S</w:t>
            </w:r>
            <w:r w:rsidRPr="00FA47AE">
              <w:rPr>
                <w:rFonts w:eastAsia="Times New Roman" w:cstheme="minorHAnsi"/>
                <w:i/>
                <w:iCs/>
                <w:kern w:val="0"/>
                <w:lang w:eastAsia="en-GB"/>
                <w14:ligatures w14:val="none"/>
              </w:rPr>
              <w:t>tandardised risk assessment</w:t>
            </w:r>
            <w:r>
              <w:rPr>
                <w:rFonts w:eastAsia="Times New Roman" w:cstheme="minorHAnsi"/>
                <w:kern w:val="0"/>
                <w:lang w:eastAsia="en-GB"/>
                <w14:ligatures w14:val="none"/>
              </w:rPr>
              <w:t xml:space="preserve">: </w:t>
            </w:r>
            <w:r w:rsidR="00CA6FF3">
              <w:rPr>
                <w:rFonts w:eastAsia="Times New Roman" w:cstheme="minorHAnsi"/>
                <w:kern w:val="0"/>
                <w:lang w:eastAsia="en-GB"/>
                <w14:ligatures w14:val="none"/>
              </w:rPr>
              <w:t>S</w:t>
            </w:r>
            <w:r w:rsidR="00871189" w:rsidRPr="00E25052">
              <w:rPr>
                <w:rFonts w:eastAsia="Times New Roman" w:cstheme="minorHAnsi"/>
                <w:kern w:val="0"/>
                <w:lang w:eastAsia="en-GB"/>
                <w14:ligatures w14:val="none"/>
              </w:rPr>
              <w:t xml:space="preserve">tandardised risk assessment </w:t>
            </w:r>
            <w:r w:rsidR="00CA6FF3">
              <w:rPr>
                <w:rFonts w:eastAsia="Times New Roman" w:cstheme="minorHAnsi"/>
                <w:kern w:val="0"/>
                <w:lang w:eastAsia="en-GB"/>
                <w14:ligatures w14:val="none"/>
              </w:rPr>
              <w:t>be</w:t>
            </w:r>
            <w:r w:rsidR="00871189" w:rsidRPr="00E25052">
              <w:rPr>
                <w:rFonts w:eastAsia="Times New Roman" w:cstheme="minorHAnsi"/>
                <w:kern w:val="0"/>
                <w:lang w:eastAsia="en-GB"/>
                <w14:ligatures w14:val="none"/>
              </w:rPr>
              <w:t xml:space="preserve"> introduced based on a market-consistent balance sheet and common stress scenarios.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3981ACBC" w:rsidR="00FE0EA5" w:rsidRPr="009C4D10" w:rsidRDefault="00F85504" w:rsidP="00CF2E7C">
            <w:pPr>
              <w:rPr>
                <w:rFonts w:cstheme="minorHAnsi"/>
              </w:rPr>
            </w:pPr>
            <w:r>
              <w:rPr>
                <w:rFonts w:cstheme="minorHAnsi"/>
                <w:lang w:val="en-SG"/>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112D3B5C" w:rsidR="00FE0EA5" w:rsidRPr="009C4D10" w:rsidRDefault="00394EF9" w:rsidP="00CF2E7C">
            <w:pPr>
              <w:rPr>
                <w:rFonts w:cstheme="minorHAnsi"/>
              </w:rPr>
            </w:pPr>
            <w:r>
              <w:rPr>
                <w:rFonts w:cstheme="minorHAnsi"/>
                <w:lang w:val="en-SG"/>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480F2AD0" w:rsidR="00FE0EA5" w:rsidRPr="009C4D10" w:rsidRDefault="00394EF9" w:rsidP="00CF2E7C">
            <w:pPr>
              <w:rPr>
                <w:rFonts w:cstheme="minorHAnsi"/>
              </w:rPr>
            </w:pPr>
            <w:r>
              <w:rPr>
                <w:rFonts w:cstheme="minorHAnsi"/>
                <w:lang w:val="en-SG"/>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1F8B430A" w:rsidR="00FE0EA5" w:rsidRPr="009C4D10" w:rsidRDefault="00394EF9" w:rsidP="00CF2E7C">
            <w:pPr>
              <w:rPr>
                <w:rFonts w:cstheme="minorHAnsi"/>
              </w:rPr>
            </w:pPr>
            <w:r>
              <w:rPr>
                <w:rFonts w:cstheme="minorHAnsi"/>
                <w:lang w:val="en-SG"/>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42ADEE9E" w:rsidR="00FE0EA5" w:rsidRPr="009C4D10" w:rsidRDefault="00394EF9" w:rsidP="00CF2E7C">
            <w:pPr>
              <w:rPr>
                <w:rFonts w:cstheme="minorHAnsi"/>
              </w:rPr>
            </w:pPr>
            <w:r>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8E73C1E" w:rsidR="00FE0EA5" w:rsidRPr="009C4D10" w:rsidRDefault="00394EF9" w:rsidP="00CF2E7C">
            <w:pPr>
              <w:rPr>
                <w:rFonts w:cstheme="minorHAnsi"/>
              </w:rPr>
            </w:pPr>
            <w:r>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3576C36F" w:rsidR="00FE0EA5" w:rsidRPr="009C4D10" w:rsidRDefault="00394EF9" w:rsidP="00CF2E7C">
            <w:pPr>
              <w:rPr>
                <w:rFonts w:cstheme="minorHAnsi"/>
              </w:rPr>
            </w:pPr>
            <w:r>
              <w:rPr>
                <w:rFonts w:cstheme="minorHAnsi"/>
                <w:lang w:val="en-SG"/>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EE1574"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730A5" w:rsidRDefault="002F0752" w:rsidP="00CF2E7C">
            <w:pPr>
              <w:rPr>
                <w:rFonts w:ascii="Calibri" w:hAnsi="Calibri" w:cs="Calibri"/>
                <w:lang w:val="fr-FR"/>
              </w:rPr>
            </w:pPr>
            <w:r w:rsidRPr="008730A5">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8730A5" w:rsidRDefault="002F0752" w:rsidP="00CF2E7C">
            <w:pPr>
              <w:rPr>
                <w:rFonts w:ascii="Calibri" w:hAnsi="Calibri" w:cs="Calibri"/>
                <w:lang w:val="fr-FR"/>
              </w:rPr>
            </w:pPr>
          </w:p>
        </w:tc>
      </w:tr>
      <w:tr w:rsidR="002F0752" w:rsidRPr="008D5EB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986D8A" w14:textId="77777777" w:rsidR="00DE3E9B" w:rsidRDefault="00DE3E9B" w:rsidP="00874E39">
      <w:r>
        <w:separator/>
      </w:r>
    </w:p>
  </w:endnote>
  <w:endnote w:type="continuationSeparator" w:id="0">
    <w:p w14:paraId="03D9A3F6" w14:textId="77777777" w:rsidR="00DE3E9B" w:rsidRDefault="00DE3E9B" w:rsidP="00874E39">
      <w:r>
        <w:continuationSeparator/>
      </w:r>
    </w:p>
  </w:endnote>
  <w:endnote w:type="continuationNotice" w:id="1">
    <w:p w14:paraId="25DDD121" w14:textId="77777777" w:rsidR="00DE3E9B" w:rsidRDefault="00DE3E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DF573D" w14:textId="77777777" w:rsidR="00DE3E9B" w:rsidRDefault="00DE3E9B" w:rsidP="00874E39">
      <w:r>
        <w:separator/>
      </w:r>
    </w:p>
  </w:footnote>
  <w:footnote w:type="continuationSeparator" w:id="0">
    <w:p w14:paraId="11ACD4C7" w14:textId="77777777" w:rsidR="00DE3E9B" w:rsidRDefault="00DE3E9B" w:rsidP="00874E39">
      <w:r>
        <w:continuationSeparator/>
      </w:r>
    </w:p>
  </w:footnote>
  <w:footnote w:type="continuationNotice" w:id="1">
    <w:p w14:paraId="6D4C4ADA" w14:textId="77777777" w:rsidR="00DE3E9B" w:rsidRDefault="00DE3E9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CE85ADF"/>
    <w:multiLevelType w:val="hybridMultilevel"/>
    <w:tmpl w:val="5DE241F8"/>
    <w:lvl w:ilvl="0" w:tplc="54580F46">
      <w:start w:val="5"/>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0C16C06"/>
    <w:multiLevelType w:val="hybridMultilevel"/>
    <w:tmpl w:val="BDFAA4DC"/>
    <w:lvl w:ilvl="0" w:tplc="1B0E504E">
      <w:start w:val="1"/>
      <w:numFmt w:val="lowerRoman"/>
      <w:lvlText w:val="%1."/>
      <w:lvlJc w:val="right"/>
      <w:pPr>
        <w:ind w:left="1020" w:hanging="360"/>
      </w:pPr>
    </w:lvl>
    <w:lvl w:ilvl="1" w:tplc="5006595C">
      <w:start w:val="1"/>
      <w:numFmt w:val="lowerRoman"/>
      <w:lvlText w:val="%2."/>
      <w:lvlJc w:val="right"/>
      <w:pPr>
        <w:ind w:left="1020" w:hanging="360"/>
      </w:pPr>
    </w:lvl>
    <w:lvl w:ilvl="2" w:tplc="79C4C64C">
      <w:start w:val="1"/>
      <w:numFmt w:val="lowerRoman"/>
      <w:lvlText w:val="%3."/>
      <w:lvlJc w:val="right"/>
      <w:pPr>
        <w:ind w:left="1020" w:hanging="360"/>
      </w:pPr>
    </w:lvl>
    <w:lvl w:ilvl="3" w:tplc="D9AE991E">
      <w:start w:val="1"/>
      <w:numFmt w:val="lowerRoman"/>
      <w:lvlText w:val="%4."/>
      <w:lvlJc w:val="right"/>
      <w:pPr>
        <w:ind w:left="1020" w:hanging="360"/>
      </w:pPr>
    </w:lvl>
    <w:lvl w:ilvl="4" w:tplc="9D08D7A4">
      <w:start w:val="1"/>
      <w:numFmt w:val="lowerRoman"/>
      <w:lvlText w:val="%5."/>
      <w:lvlJc w:val="right"/>
      <w:pPr>
        <w:ind w:left="1020" w:hanging="360"/>
      </w:pPr>
    </w:lvl>
    <w:lvl w:ilvl="5" w:tplc="53C8B6D6">
      <w:start w:val="1"/>
      <w:numFmt w:val="lowerRoman"/>
      <w:lvlText w:val="%6."/>
      <w:lvlJc w:val="right"/>
      <w:pPr>
        <w:ind w:left="1020" w:hanging="360"/>
      </w:pPr>
    </w:lvl>
    <w:lvl w:ilvl="6" w:tplc="A3349902">
      <w:start w:val="1"/>
      <w:numFmt w:val="lowerRoman"/>
      <w:lvlText w:val="%7."/>
      <w:lvlJc w:val="right"/>
      <w:pPr>
        <w:ind w:left="1020" w:hanging="360"/>
      </w:pPr>
    </w:lvl>
    <w:lvl w:ilvl="7" w:tplc="7E7CD5B4">
      <w:start w:val="1"/>
      <w:numFmt w:val="lowerRoman"/>
      <w:lvlText w:val="%8."/>
      <w:lvlJc w:val="right"/>
      <w:pPr>
        <w:ind w:left="1020" w:hanging="360"/>
      </w:pPr>
    </w:lvl>
    <w:lvl w:ilvl="8" w:tplc="E63081A0">
      <w:start w:val="1"/>
      <w:numFmt w:val="lowerRoman"/>
      <w:lvlText w:val="%9."/>
      <w:lvlJc w:val="right"/>
      <w:pPr>
        <w:ind w:left="1020" w:hanging="360"/>
      </w:p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7D9046E"/>
    <w:multiLevelType w:val="hybridMultilevel"/>
    <w:tmpl w:val="1A52FFF8"/>
    <w:lvl w:ilvl="0" w:tplc="7FC083E8">
      <w:start w:val="1"/>
      <w:numFmt w:val="lowerRoman"/>
      <w:lvlText w:val="%1."/>
      <w:lvlJc w:val="right"/>
      <w:pPr>
        <w:ind w:left="720" w:hanging="360"/>
      </w:pPr>
    </w:lvl>
    <w:lvl w:ilvl="1" w:tplc="EB3AAD24">
      <w:start w:val="1"/>
      <w:numFmt w:val="lowerRoman"/>
      <w:lvlText w:val="%2."/>
      <w:lvlJc w:val="right"/>
      <w:pPr>
        <w:ind w:left="720" w:hanging="360"/>
      </w:pPr>
    </w:lvl>
    <w:lvl w:ilvl="2" w:tplc="E55A6622">
      <w:start w:val="1"/>
      <w:numFmt w:val="lowerRoman"/>
      <w:lvlText w:val="%3."/>
      <w:lvlJc w:val="right"/>
      <w:pPr>
        <w:ind w:left="720" w:hanging="360"/>
      </w:pPr>
    </w:lvl>
    <w:lvl w:ilvl="3" w:tplc="8F4A91A2">
      <w:start w:val="1"/>
      <w:numFmt w:val="lowerRoman"/>
      <w:lvlText w:val="%4."/>
      <w:lvlJc w:val="right"/>
      <w:pPr>
        <w:ind w:left="720" w:hanging="360"/>
      </w:pPr>
    </w:lvl>
    <w:lvl w:ilvl="4" w:tplc="87E4CBA2">
      <w:start w:val="1"/>
      <w:numFmt w:val="lowerRoman"/>
      <w:lvlText w:val="%5."/>
      <w:lvlJc w:val="right"/>
      <w:pPr>
        <w:ind w:left="720" w:hanging="360"/>
      </w:pPr>
    </w:lvl>
    <w:lvl w:ilvl="5" w:tplc="A2ECA5C0">
      <w:start w:val="1"/>
      <w:numFmt w:val="lowerRoman"/>
      <w:lvlText w:val="%6."/>
      <w:lvlJc w:val="right"/>
      <w:pPr>
        <w:ind w:left="720" w:hanging="360"/>
      </w:pPr>
    </w:lvl>
    <w:lvl w:ilvl="6" w:tplc="255E0B58">
      <w:start w:val="1"/>
      <w:numFmt w:val="lowerRoman"/>
      <w:lvlText w:val="%7."/>
      <w:lvlJc w:val="right"/>
      <w:pPr>
        <w:ind w:left="720" w:hanging="360"/>
      </w:pPr>
    </w:lvl>
    <w:lvl w:ilvl="7" w:tplc="9F108F8E">
      <w:start w:val="1"/>
      <w:numFmt w:val="lowerRoman"/>
      <w:lvlText w:val="%8."/>
      <w:lvlJc w:val="right"/>
      <w:pPr>
        <w:ind w:left="720" w:hanging="360"/>
      </w:pPr>
    </w:lvl>
    <w:lvl w:ilvl="8" w:tplc="B9FA31E2">
      <w:start w:val="1"/>
      <w:numFmt w:val="lowerRoman"/>
      <w:lvlText w:val="%9."/>
      <w:lvlJc w:val="right"/>
      <w:pPr>
        <w:ind w:left="720" w:hanging="360"/>
      </w:pPr>
    </w:lvl>
  </w:abstractNum>
  <w:abstractNum w:abstractNumId="12" w15:restartNumberingAfterBreak="0">
    <w:nsid w:val="18442C69"/>
    <w:multiLevelType w:val="hybridMultilevel"/>
    <w:tmpl w:val="CE30BC92"/>
    <w:lvl w:ilvl="0" w:tplc="54580F46">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4" w15:restartNumberingAfterBreak="0">
    <w:nsid w:val="1DCD0036"/>
    <w:multiLevelType w:val="hybridMultilevel"/>
    <w:tmpl w:val="963C1722"/>
    <w:lvl w:ilvl="0" w:tplc="CC6AB5E4">
      <w:start w:val="1"/>
      <w:numFmt w:val="lowerRoman"/>
      <w:lvlText w:val="%1."/>
      <w:lvlJc w:val="right"/>
      <w:pPr>
        <w:ind w:left="720" w:hanging="360"/>
      </w:pPr>
    </w:lvl>
    <w:lvl w:ilvl="1" w:tplc="5B82EA4A">
      <w:start w:val="1"/>
      <w:numFmt w:val="lowerRoman"/>
      <w:lvlText w:val="%2."/>
      <w:lvlJc w:val="right"/>
      <w:pPr>
        <w:ind w:left="720" w:hanging="360"/>
      </w:pPr>
    </w:lvl>
    <w:lvl w:ilvl="2" w:tplc="D20A53A6">
      <w:start w:val="1"/>
      <w:numFmt w:val="lowerRoman"/>
      <w:lvlText w:val="%3."/>
      <w:lvlJc w:val="right"/>
      <w:pPr>
        <w:ind w:left="720" w:hanging="360"/>
      </w:pPr>
    </w:lvl>
    <w:lvl w:ilvl="3" w:tplc="65F62708">
      <w:start w:val="1"/>
      <w:numFmt w:val="lowerRoman"/>
      <w:lvlText w:val="%4."/>
      <w:lvlJc w:val="right"/>
      <w:pPr>
        <w:ind w:left="720" w:hanging="360"/>
      </w:pPr>
    </w:lvl>
    <w:lvl w:ilvl="4" w:tplc="D76E284A">
      <w:start w:val="1"/>
      <w:numFmt w:val="lowerRoman"/>
      <w:lvlText w:val="%5."/>
      <w:lvlJc w:val="right"/>
      <w:pPr>
        <w:ind w:left="720" w:hanging="360"/>
      </w:pPr>
    </w:lvl>
    <w:lvl w:ilvl="5" w:tplc="2912E2AC">
      <w:start w:val="1"/>
      <w:numFmt w:val="lowerRoman"/>
      <w:lvlText w:val="%6."/>
      <w:lvlJc w:val="right"/>
      <w:pPr>
        <w:ind w:left="720" w:hanging="360"/>
      </w:pPr>
    </w:lvl>
    <w:lvl w:ilvl="6" w:tplc="9CFE58C8">
      <w:start w:val="1"/>
      <w:numFmt w:val="lowerRoman"/>
      <w:lvlText w:val="%7."/>
      <w:lvlJc w:val="right"/>
      <w:pPr>
        <w:ind w:left="720" w:hanging="360"/>
      </w:pPr>
    </w:lvl>
    <w:lvl w:ilvl="7" w:tplc="4FE0CE30">
      <w:start w:val="1"/>
      <w:numFmt w:val="lowerRoman"/>
      <w:lvlText w:val="%8."/>
      <w:lvlJc w:val="right"/>
      <w:pPr>
        <w:ind w:left="720" w:hanging="360"/>
      </w:pPr>
    </w:lvl>
    <w:lvl w:ilvl="8" w:tplc="98EE6696">
      <w:start w:val="1"/>
      <w:numFmt w:val="lowerRoman"/>
      <w:lvlText w:val="%9."/>
      <w:lvlJc w:val="right"/>
      <w:pPr>
        <w:ind w:left="720" w:hanging="360"/>
      </w:pPr>
    </w:lvl>
  </w:abstractNum>
  <w:abstractNum w:abstractNumId="15"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6"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7"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8"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9"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0"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1"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2"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4F50785E"/>
    <w:multiLevelType w:val="hybridMultilevel"/>
    <w:tmpl w:val="64A80F66"/>
    <w:lvl w:ilvl="0" w:tplc="54580F46">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ADE075F"/>
    <w:multiLevelType w:val="hybridMultilevel"/>
    <w:tmpl w:val="E8209C56"/>
    <w:lvl w:ilvl="0" w:tplc="54580F46">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1"/>
  </w:num>
  <w:num w:numId="2" w16cid:durableId="482308869">
    <w:abstractNumId w:val="28"/>
  </w:num>
  <w:num w:numId="3" w16cid:durableId="690952733">
    <w:abstractNumId w:val="47"/>
  </w:num>
  <w:num w:numId="4" w16cid:durableId="1689330127">
    <w:abstractNumId w:val="1"/>
  </w:num>
  <w:num w:numId="5" w16cid:durableId="401291788">
    <w:abstractNumId w:val="33"/>
  </w:num>
  <w:num w:numId="6" w16cid:durableId="1276788690">
    <w:abstractNumId w:val="18"/>
  </w:num>
  <w:num w:numId="7" w16cid:durableId="566767730">
    <w:abstractNumId w:val="25"/>
  </w:num>
  <w:num w:numId="8" w16cid:durableId="1780710843">
    <w:abstractNumId w:val="40"/>
  </w:num>
  <w:num w:numId="9" w16cid:durableId="1685783054">
    <w:abstractNumId w:val="3"/>
  </w:num>
  <w:num w:numId="10" w16cid:durableId="950551298">
    <w:abstractNumId w:val="36"/>
  </w:num>
  <w:num w:numId="11" w16cid:durableId="1591960799">
    <w:abstractNumId w:val="54"/>
  </w:num>
  <w:num w:numId="12" w16cid:durableId="1344891410">
    <w:abstractNumId w:val="13"/>
  </w:num>
  <w:num w:numId="13" w16cid:durableId="2023899324">
    <w:abstractNumId w:val="16"/>
  </w:num>
  <w:num w:numId="14" w16cid:durableId="430587014">
    <w:abstractNumId w:val="9"/>
  </w:num>
  <w:num w:numId="15" w16cid:durableId="1742869061">
    <w:abstractNumId w:val="35"/>
  </w:num>
  <w:num w:numId="16" w16cid:durableId="1996450437">
    <w:abstractNumId w:val="24"/>
  </w:num>
  <w:num w:numId="17" w16cid:durableId="1529031027">
    <w:abstractNumId w:val="10"/>
  </w:num>
  <w:num w:numId="18" w16cid:durableId="568614617">
    <w:abstractNumId w:val="22"/>
  </w:num>
  <w:num w:numId="19" w16cid:durableId="1530605858">
    <w:abstractNumId w:val="49"/>
  </w:num>
  <w:num w:numId="20" w16cid:durableId="1328172586">
    <w:abstractNumId w:val="20"/>
  </w:num>
  <w:num w:numId="21" w16cid:durableId="184827816">
    <w:abstractNumId w:val="32"/>
  </w:num>
  <w:num w:numId="22" w16cid:durableId="1785346599">
    <w:abstractNumId w:val="39"/>
  </w:num>
  <w:num w:numId="23" w16cid:durableId="1294288901">
    <w:abstractNumId w:val="31"/>
  </w:num>
  <w:num w:numId="24" w16cid:durableId="1603957975">
    <w:abstractNumId w:val="51"/>
  </w:num>
  <w:num w:numId="25" w16cid:durableId="1659531047">
    <w:abstractNumId w:val="50"/>
  </w:num>
  <w:num w:numId="26" w16cid:durableId="752774403">
    <w:abstractNumId w:val="27"/>
  </w:num>
  <w:num w:numId="27" w16cid:durableId="347872198">
    <w:abstractNumId w:val="7"/>
  </w:num>
  <w:num w:numId="28" w16cid:durableId="537133110">
    <w:abstractNumId w:val="17"/>
  </w:num>
  <w:num w:numId="29" w16cid:durableId="1632318729">
    <w:abstractNumId w:val="52"/>
  </w:num>
  <w:num w:numId="30" w16cid:durableId="1268124074">
    <w:abstractNumId w:val="37"/>
  </w:num>
  <w:num w:numId="31" w16cid:durableId="887108748">
    <w:abstractNumId w:val="34"/>
  </w:num>
  <w:num w:numId="32" w16cid:durableId="1826125712">
    <w:abstractNumId w:val="41"/>
  </w:num>
  <w:num w:numId="33" w16cid:durableId="823357978">
    <w:abstractNumId w:val="45"/>
  </w:num>
  <w:num w:numId="34" w16cid:durableId="1092120443">
    <w:abstractNumId w:val="44"/>
  </w:num>
  <w:num w:numId="35" w16cid:durableId="124861188">
    <w:abstractNumId w:val="15"/>
  </w:num>
  <w:num w:numId="36" w16cid:durableId="1952588250">
    <w:abstractNumId w:val="43"/>
  </w:num>
  <w:num w:numId="37" w16cid:durableId="1712027211">
    <w:abstractNumId w:val="4"/>
  </w:num>
  <w:num w:numId="38" w16cid:durableId="2033795929">
    <w:abstractNumId w:val="2"/>
  </w:num>
  <w:num w:numId="39" w16cid:durableId="1238595582">
    <w:abstractNumId w:val="29"/>
  </w:num>
  <w:num w:numId="40" w16cid:durableId="416558262">
    <w:abstractNumId w:val="26"/>
  </w:num>
  <w:num w:numId="41" w16cid:durableId="1543715517">
    <w:abstractNumId w:val="23"/>
  </w:num>
  <w:num w:numId="42" w16cid:durableId="452208391">
    <w:abstractNumId w:val="19"/>
  </w:num>
  <w:num w:numId="43" w16cid:durableId="260340070">
    <w:abstractNumId w:val="0"/>
  </w:num>
  <w:num w:numId="44" w16cid:durableId="1639914969">
    <w:abstractNumId w:val="6"/>
  </w:num>
  <w:num w:numId="45" w16cid:durableId="1554191892">
    <w:abstractNumId w:val="46"/>
  </w:num>
  <w:num w:numId="46" w16cid:durableId="947811845">
    <w:abstractNumId w:val="53"/>
  </w:num>
  <w:num w:numId="47" w16cid:durableId="342588554">
    <w:abstractNumId w:val="30"/>
  </w:num>
  <w:num w:numId="48" w16cid:durableId="318391343">
    <w:abstractNumId w:val="42"/>
  </w:num>
  <w:num w:numId="49" w16cid:durableId="1007945802">
    <w:abstractNumId w:val="8"/>
  </w:num>
  <w:num w:numId="50" w16cid:durableId="64760896">
    <w:abstractNumId w:val="11"/>
  </w:num>
  <w:num w:numId="51" w16cid:durableId="281084472">
    <w:abstractNumId w:val="14"/>
  </w:num>
  <w:num w:numId="52" w16cid:durableId="1814172777">
    <w:abstractNumId w:val="38"/>
  </w:num>
  <w:num w:numId="53" w16cid:durableId="20710109">
    <w:abstractNumId w:val="12"/>
  </w:num>
  <w:num w:numId="54" w16cid:durableId="485171701">
    <w:abstractNumId w:val="48"/>
  </w:num>
  <w:num w:numId="55" w16cid:durableId="402531674">
    <w:abstractNumId w:val="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4"/>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203"/>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35DC"/>
    <w:rsid w:val="00063C6D"/>
    <w:rsid w:val="00064195"/>
    <w:rsid w:val="00064FDB"/>
    <w:rsid w:val="00065A4A"/>
    <w:rsid w:val="000666DC"/>
    <w:rsid w:val="0006692A"/>
    <w:rsid w:val="00067899"/>
    <w:rsid w:val="00067E05"/>
    <w:rsid w:val="000702AA"/>
    <w:rsid w:val="000704DB"/>
    <w:rsid w:val="00071654"/>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A7CCE"/>
    <w:rsid w:val="000B0734"/>
    <w:rsid w:val="000B15C7"/>
    <w:rsid w:val="000B1BF7"/>
    <w:rsid w:val="000B29F1"/>
    <w:rsid w:val="000B37B0"/>
    <w:rsid w:val="000B3F66"/>
    <w:rsid w:val="000B3F68"/>
    <w:rsid w:val="000B4374"/>
    <w:rsid w:val="000B719B"/>
    <w:rsid w:val="000B730C"/>
    <w:rsid w:val="000C1982"/>
    <w:rsid w:val="000C2857"/>
    <w:rsid w:val="000C52F1"/>
    <w:rsid w:val="000C7BEA"/>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4AE7"/>
    <w:rsid w:val="000E5439"/>
    <w:rsid w:val="000E6110"/>
    <w:rsid w:val="000E6A6A"/>
    <w:rsid w:val="000E7A8A"/>
    <w:rsid w:val="000F4459"/>
    <w:rsid w:val="000F5E92"/>
    <w:rsid w:val="000F690C"/>
    <w:rsid w:val="000F6A41"/>
    <w:rsid w:val="000F6E3B"/>
    <w:rsid w:val="00101305"/>
    <w:rsid w:val="001014D9"/>
    <w:rsid w:val="00101708"/>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A57"/>
    <w:rsid w:val="00164519"/>
    <w:rsid w:val="00172B85"/>
    <w:rsid w:val="00173D7C"/>
    <w:rsid w:val="0017449C"/>
    <w:rsid w:val="001747DD"/>
    <w:rsid w:val="001749C3"/>
    <w:rsid w:val="00176011"/>
    <w:rsid w:val="001766F0"/>
    <w:rsid w:val="00180289"/>
    <w:rsid w:val="00180479"/>
    <w:rsid w:val="00182288"/>
    <w:rsid w:val="00182646"/>
    <w:rsid w:val="00183170"/>
    <w:rsid w:val="00184609"/>
    <w:rsid w:val="00185C8C"/>
    <w:rsid w:val="00187689"/>
    <w:rsid w:val="001904E6"/>
    <w:rsid w:val="00191059"/>
    <w:rsid w:val="001919D8"/>
    <w:rsid w:val="00192EC4"/>
    <w:rsid w:val="0019340B"/>
    <w:rsid w:val="001953A3"/>
    <w:rsid w:val="0019639C"/>
    <w:rsid w:val="00197A30"/>
    <w:rsid w:val="00197E06"/>
    <w:rsid w:val="001A0537"/>
    <w:rsid w:val="001A11A7"/>
    <w:rsid w:val="001A2680"/>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18CF"/>
    <w:rsid w:val="001B2336"/>
    <w:rsid w:val="001B27AB"/>
    <w:rsid w:val="001B3145"/>
    <w:rsid w:val="001B3A31"/>
    <w:rsid w:val="001B3EFB"/>
    <w:rsid w:val="001B4DEC"/>
    <w:rsid w:val="001B4FB1"/>
    <w:rsid w:val="001B60DE"/>
    <w:rsid w:val="001C008B"/>
    <w:rsid w:val="001C0769"/>
    <w:rsid w:val="001C120D"/>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637"/>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A0D"/>
    <w:rsid w:val="001F2D88"/>
    <w:rsid w:val="001F2DE2"/>
    <w:rsid w:val="001F2FC4"/>
    <w:rsid w:val="001F30DE"/>
    <w:rsid w:val="001F36B6"/>
    <w:rsid w:val="001F5FB8"/>
    <w:rsid w:val="00200292"/>
    <w:rsid w:val="002008EE"/>
    <w:rsid w:val="00200E3F"/>
    <w:rsid w:val="002018F7"/>
    <w:rsid w:val="002020E8"/>
    <w:rsid w:val="00203B08"/>
    <w:rsid w:val="002040F6"/>
    <w:rsid w:val="00204C4D"/>
    <w:rsid w:val="0020589D"/>
    <w:rsid w:val="00205D5A"/>
    <w:rsid w:val="00206829"/>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3"/>
    <w:rsid w:val="00250ED8"/>
    <w:rsid w:val="00250F54"/>
    <w:rsid w:val="0025129B"/>
    <w:rsid w:val="0025400F"/>
    <w:rsid w:val="0025449C"/>
    <w:rsid w:val="002552C9"/>
    <w:rsid w:val="0025765F"/>
    <w:rsid w:val="00257732"/>
    <w:rsid w:val="00262235"/>
    <w:rsid w:val="00264CBC"/>
    <w:rsid w:val="0026588F"/>
    <w:rsid w:val="0026642F"/>
    <w:rsid w:val="002679A5"/>
    <w:rsid w:val="0027067C"/>
    <w:rsid w:val="00270A4D"/>
    <w:rsid w:val="00272953"/>
    <w:rsid w:val="00272D9A"/>
    <w:rsid w:val="002737EF"/>
    <w:rsid w:val="00274335"/>
    <w:rsid w:val="00274864"/>
    <w:rsid w:val="00274B22"/>
    <w:rsid w:val="002763FA"/>
    <w:rsid w:val="0027796A"/>
    <w:rsid w:val="00277FC5"/>
    <w:rsid w:val="0028195B"/>
    <w:rsid w:val="00284ADD"/>
    <w:rsid w:val="00285DA7"/>
    <w:rsid w:val="00286683"/>
    <w:rsid w:val="00286FE0"/>
    <w:rsid w:val="002878A1"/>
    <w:rsid w:val="002912CD"/>
    <w:rsid w:val="00295136"/>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8BD"/>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987"/>
    <w:rsid w:val="002E5ACB"/>
    <w:rsid w:val="002E6DEC"/>
    <w:rsid w:val="002E7BF5"/>
    <w:rsid w:val="002F0752"/>
    <w:rsid w:val="002F1ABB"/>
    <w:rsid w:val="002F359D"/>
    <w:rsid w:val="002F3A46"/>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05C"/>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282"/>
    <w:rsid w:val="003473CB"/>
    <w:rsid w:val="00347515"/>
    <w:rsid w:val="00350DCA"/>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0E5"/>
    <w:rsid w:val="003647F4"/>
    <w:rsid w:val="0036671B"/>
    <w:rsid w:val="003676DE"/>
    <w:rsid w:val="0036779C"/>
    <w:rsid w:val="00372AEE"/>
    <w:rsid w:val="00374229"/>
    <w:rsid w:val="0037453B"/>
    <w:rsid w:val="00374557"/>
    <w:rsid w:val="00375D49"/>
    <w:rsid w:val="003762A4"/>
    <w:rsid w:val="003770DA"/>
    <w:rsid w:val="00377281"/>
    <w:rsid w:val="0037E466"/>
    <w:rsid w:val="003811C3"/>
    <w:rsid w:val="003817C1"/>
    <w:rsid w:val="00381CDC"/>
    <w:rsid w:val="00381E8A"/>
    <w:rsid w:val="00381FD3"/>
    <w:rsid w:val="003825F5"/>
    <w:rsid w:val="00385566"/>
    <w:rsid w:val="00386B53"/>
    <w:rsid w:val="0038785C"/>
    <w:rsid w:val="0039010E"/>
    <w:rsid w:val="00390B82"/>
    <w:rsid w:val="00390EB0"/>
    <w:rsid w:val="0039223F"/>
    <w:rsid w:val="00392E03"/>
    <w:rsid w:val="00392F82"/>
    <w:rsid w:val="0039353D"/>
    <w:rsid w:val="003937AD"/>
    <w:rsid w:val="0039395D"/>
    <w:rsid w:val="00393BA9"/>
    <w:rsid w:val="00394EF9"/>
    <w:rsid w:val="0039625A"/>
    <w:rsid w:val="003A0C73"/>
    <w:rsid w:val="003A144F"/>
    <w:rsid w:val="003A2976"/>
    <w:rsid w:val="003A2E5E"/>
    <w:rsid w:val="003A4A9F"/>
    <w:rsid w:val="003A52E3"/>
    <w:rsid w:val="003A5B03"/>
    <w:rsid w:val="003B0628"/>
    <w:rsid w:val="003B3C0F"/>
    <w:rsid w:val="003B44EE"/>
    <w:rsid w:val="003B4DD6"/>
    <w:rsid w:val="003B4F81"/>
    <w:rsid w:val="003B50A2"/>
    <w:rsid w:val="003B539A"/>
    <w:rsid w:val="003B5B6C"/>
    <w:rsid w:val="003B66F6"/>
    <w:rsid w:val="003B7854"/>
    <w:rsid w:val="003C16DA"/>
    <w:rsid w:val="003C5BA2"/>
    <w:rsid w:val="003D17C7"/>
    <w:rsid w:val="003D1B49"/>
    <w:rsid w:val="003D1CF3"/>
    <w:rsid w:val="003D207B"/>
    <w:rsid w:val="003D244B"/>
    <w:rsid w:val="003D2F57"/>
    <w:rsid w:val="003D40A0"/>
    <w:rsid w:val="003D4F6F"/>
    <w:rsid w:val="003D5104"/>
    <w:rsid w:val="003D56A4"/>
    <w:rsid w:val="003D6DA5"/>
    <w:rsid w:val="003E037B"/>
    <w:rsid w:val="003E38C7"/>
    <w:rsid w:val="003E43FE"/>
    <w:rsid w:val="003E7DD6"/>
    <w:rsid w:val="003E7E83"/>
    <w:rsid w:val="003F1282"/>
    <w:rsid w:val="003F1C8E"/>
    <w:rsid w:val="003F1E87"/>
    <w:rsid w:val="003F256E"/>
    <w:rsid w:val="003F2B00"/>
    <w:rsid w:val="003F2E77"/>
    <w:rsid w:val="003F338D"/>
    <w:rsid w:val="003F39C3"/>
    <w:rsid w:val="003F4908"/>
    <w:rsid w:val="003F5B6F"/>
    <w:rsid w:val="003F680F"/>
    <w:rsid w:val="003F7787"/>
    <w:rsid w:val="00400800"/>
    <w:rsid w:val="00401843"/>
    <w:rsid w:val="004024D0"/>
    <w:rsid w:val="00404119"/>
    <w:rsid w:val="00404453"/>
    <w:rsid w:val="00404E19"/>
    <w:rsid w:val="00405D8B"/>
    <w:rsid w:val="00406643"/>
    <w:rsid w:val="0040780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7FF"/>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4E22"/>
    <w:rsid w:val="004A54B3"/>
    <w:rsid w:val="004A6D34"/>
    <w:rsid w:val="004A7899"/>
    <w:rsid w:val="004A7CD9"/>
    <w:rsid w:val="004B101C"/>
    <w:rsid w:val="004B1442"/>
    <w:rsid w:val="004B1458"/>
    <w:rsid w:val="004B196A"/>
    <w:rsid w:val="004B1F6B"/>
    <w:rsid w:val="004B25C1"/>
    <w:rsid w:val="004B2AB6"/>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404F"/>
    <w:rsid w:val="004D5810"/>
    <w:rsid w:val="004D6484"/>
    <w:rsid w:val="004D7C53"/>
    <w:rsid w:val="004E4F56"/>
    <w:rsid w:val="004E51B5"/>
    <w:rsid w:val="004F0C55"/>
    <w:rsid w:val="004F276F"/>
    <w:rsid w:val="004F48E8"/>
    <w:rsid w:val="004F530D"/>
    <w:rsid w:val="004F5354"/>
    <w:rsid w:val="005017EF"/>
    <w:rsid w:val="0050185E"/>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96B"/>
    <w:rsid w:val="00561537"/>
    <w:rsid w:val="00563224"/>
    <w:rsid w:val="00563432"/>
    <w:rsid w:val="00566FDB"/>
    <w:rsid w:val="00570082"/>
    <w:rsid w:val="00571BA3"/>
    <w:rsid w:val="00571C94"/>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15A"/>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E46"/>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2D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06FE"/>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0BB7"/>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BEB"/>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27E11"/>
    <w:rsid w:val="00730E27"/>
    <w:rsid w:val="007312A3"/>
    <w:rsid w:val="00732D3A"/>
    <w:rsid w:val="007335CD"/>
    <w:rsid w:val="00733903"/>
    <w:rsid w:val="00733D39"/>
    <w:rsid w:val="00735A3B"/>
    <w:rsid w:val="00736F5F"/>
    <w:rsid w:val="00737B83"/>
    <w:rsid w:val="00737CDF"/>
    <w:rsid w:val="0074022B"/>
    <w:rsid w:val="007404B4"/>
    <w:rsid w:val="00740BD6"/>
    <w:rsid w:val="007419BF"/>
    <w:rsid w:val="00741AA1"/>
    <w:rsid w:val="0074258C"/>
    <w:rsid w:val="00742723"/>
    <w:rsid w:val="0074291C"/>
    <w:rsid w:val="0074299A"/>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586"/>
    <w:rsid w:val="00764D1A"/>
    <w:rsid w:val="00764DB3"/>
    <w:rsid w:val="00765130"/>
    <w:rsid w:val="007653FB"/>
    <w:rsid w:val="0076706A"/>
    <w:rsid w:val="0077017A"/>
    <w:rsid w:val="007710D7"/>
    <w:rsid w:val="00772F55"/>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3FA"/>
    <w:rsid w:val="007B6750"/>
    <w:rsid w:val="007B6AD4"/>
    <w:rsid w:val="007B6E7E"/>
    <w:rsid w:val="007B7083"/>
    <w:rsid w:val="007B72B3"/>
    <w:rsid w:val="007B7633"/>
    <w:rsid w:val="007B7DEE"/>
    <w:rsid w:val="007B7FD7"/>
    <w:rsid w:val="007C138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B06"/>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8D3"/>
    <w:rsid w:val="00811FC6"/>
    <w:rsid w:val="0081210B"/>
    <w:rsid w:val="0081265C"/>
    <w:rsid w:val="0081313B"/>
    <w:rsid w:val="00813A3A"/>
    <w:rsid w:val="00813E00"/>
    <w:rsid w:val="00815729"/>
    <w:rsid w:val="00815AAB"/>
    <w:rsid w:val="00816C98"/>
    <w:rsid w:val="00816D92"/>
    <w:rsid w:val="00816F1B"/>
    <w:rsid w:val="00820D9F"/>
    <w:rsid w:val="0082166B"/>
    <w:rsid w:val="00822032"/>
    <w:rsid w:val="008247E4"/>
    <w:rsid w:val="0082488A"/>
    <w:rsid w:val="0082674B"/>
    <w:rsid w:val="008273C0"/>
    <w:rsid w:val="008279D8"/>
    <w:rsid w:val="00831667"/>
    <w:rsid w:val="008318AE"/>
    <w:rsid w:val="00831C3E"/>
    <w:rsid w:val="00832876"/>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A17"/>
    <w:rsid w:val="00860CA9"/>
    <w:rsid w:val="00861D43"/>
    <w:rsid w:val="00862AB1"/>
    <w:rsid w:val="00862EB9"/>
    <w:rsid w:val="008642FE"/>
    <w:rsid w:val="008650EB"/>
    <w:rsid w:val="0087096F"/>
    <w:rsid w:val="008709CF"/>
    <w:rsid w:val="00871189"/>
    <w:rsid w:val="00872A9A"/>
    <w:rsid w:val="008730A5"/>
    <w:rsid w:val="008732CE"/>
    <w:rsid w:val="0087393B"/>
    <w:rsid w:val="008747C8"/>
    <w:rsid w:val="00874E39"/>
    <w:rsid w:val="008766C1"/>
    <w:rsid w:val="0087778A"/>
    <w:rsid w:val="00877C38"/>
    <w:rsid w:val="00877FBD"/>
    <w:rsid w:val="00880170"/>
    <w:rsid w:val="00880274"/>
    <w:rsid w:val="008812AC"/>
    <w:rsid w:val="008835E8"/>
    <w:rsid w:val="008840E5"/>
    <w:rsid w:val="00884DA9"/>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C7D49"/>
    <w:rsid w:val="008D018C"/>
    <w:rsid w:val="008D0461"/>
    <w:rsid w:val="008D08EB"/>
    <w:rsid w:val="008D0BA1"/>
    <w:rsid w:val="008D2B18"/>
    <w:rsid w:val="008D2FA8"/>
    <w:rsid w:val="008D45C5"/>
    <w:rsid w:val="008D5150"/>
    <w:rsid w:val="008D54CE"/>
    <w:rsid w:val="008D5EB0"/>
    <w:rsid w:val="008D78E4"/>
    <w:rsid w:val="008E0169"/>
    <w:rsid w:val="008E1EEF"/>
    <w:rsid w:val="008E3BCF"/>
    <w:rsid w:val="008E4B2E"/>
    <w:rsid w:val="008E540F"/>
    <w:rsid w:val="008E55CB"/>
    <w:rsid w:val="008E59EB"/>
    <w:rsid w:val="008E6AE1"/>
    <w:rsid w:val="008E760C"/>
    <w:rsid w:val="008F0B3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941"/>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9BE"/>
    <w:rsid w:val="00966C8D"/>
    <w:rsid w:val="0097030B"/>
    <w:rsid w:val="00970C82"/>
    <w:rsid w:val="00971C0E"/>
    <w:rsid w:val="00974581"/>
    <w:rsid w:val="009745EE"/>
    <w:rsid w:val="00976106"/>
    <w:rsid w:val="00976B54"/>
    <w:rsid w:val="00977578"/>
    <w:rsid w:val="00977BA5"/>
    <w:rsid w:val="009805DC"/>
    <w:rsid w:val="00980C8B"/>
    <w:rsid w:val="00981000"/>
    <w:rsid w:val="009818E7"/>
    <w:rsid w:val="00981AD6"/>
    <w:rsid w:val="0098226E"/>
    <w:rsid w:val="0098285B"/>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997"/>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2ED6"/>
    <w:rsid w:val="00A035AB"/>
    <w:rsid w:val="00A04C9D"/>
    <w:rsid w:val="00A04DB8"/>
    <w:rsid w:val="00A050A2"/>
    <w:rsid w:val="00A05CFC"/>
    <w:rsid w:val="00A064CE"/>
    <w:rsid w:val="00A0773E"/>
    <w:rsid w:val="00A07FB5"/>
    <w:rsid w:val="00A10856"/>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5BBC"/>
    <w:rsid w:val="00A46507"/>
    <w:rsid w:val="00A46BEA"/>
    <w:rsid w:val="00A47C6E"/>
    <w:rsid w:val="00A501D9"/>
    <w:rsid w:val="00A503F1"/>
    <w:rsid w:val="00A50AE6"/>
    <w:rsid w:val="00A53328"/>
    <w:rsid w:val="00A5358D"/>
    <w:rsid w:val="00A53874"/>
    <w:rsid w:val="00A5536A"/>
    <w:rsid w:val="00A55B96"/>
    <w:rsid w:val="00A56BE5"/>
    <w:rsid w:val="00A56DE0"/>
    <w:rsid w:val="00A57E93"/>
    <w:rsid w:val="00A60DA8"/>
    <w:rsid w:val="00A6137C"/>
    <w:rsid w:val="00A615A6"/>
    <w:rsid w:val="00A623D0"/>
    <w:rsid w:val="00A631EB"/>
    <w:rsid w:val="00A65D42"/>
    <w:rsid w:val="00A711B3"/>
    <w:rsid w:val="00A71C2B"/>
    <w:rsid w:val="00A72E82"/>
    <w:rsid w:val="00A72F3F"/>
    <w:rsid w:val="00A74073"/>
    <w:rsid w:val="00A76423"/>
    <w:rsid w:val="00A773D0"/>
    <w:rsid w:val="00A77738"/>
    <w:rsid w:val="00A7786A"/>
    <w:rsid w:val="00A779A2"/>
    <w:rsid w:val="00A80131"/>
    <w:rsid w:val="00A80AEF"/>
    <w:rsid w:val="00A810B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AE4"/>
    <w:rsid w:val="00AC02D8"/>
    <w:rsid w:val="00AC4DDC"/>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2C72"/>
    <w:rsid w:val="00AE3CBD"/>
    <w:rsid w:val="00AE5D21"/>
    <w:rsid w:val="00AE7C5F"/>
    <w:rsid w:val="00AF08A8"/>
    <w:rsid w:val="00AF0DD8"/>
    <w:rsid w:val="00AF2019"/>
    <w:rsid w:val="00AF26B7"/>
    <w:rsid w:val="00AF2C89"/>
    <w:rsid w:val="00AF30FD"/>
    <w:rsid w:val="00AF3FC6"/>
    <w:rsid w:val="00AF4B5F"/>
    <w:rsid w:val="00AF5B6E"/>
    <w:rsid w:val="00AF6810"/>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6442"/>
    <w:rsid w:val="00B3764F"/>
    <w:rsid w:val="00B406C5"/>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86D"/>
    <w:rsid w:val="00B84909"/>
    <w:rsid w:val="00B855E0"/>
    <w:rsid w:val="00B86E26"/>
    <w:rsid w:val="00B87C89"/>
    <w:rsid w:val="00B90D29"/>
    <w:rsid w:val="00B90F5B"/>
    <w:rsid w:val="00B9130E"/>
    <w:rsid w:val="00B91B0A"/>
    <w:rsid w:val="00B93871"/>
    <w:rsid w:val="00B93EA9"/>
    <w:rsid w:val="00B944C1"/>
    <w:rsid w:val="00B9495C"/>
    <w:rsid w:val="00B94A0E"/>
    <w:rsid w:val="00B95827"/>
    <w:rsid w:val="00B95988"/>
    <w:rsid w:val="00B972F9"/>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5FA"/>
    <w:rsid w:val="00BD6932"/>
    <w:rsid w:val="00BD6D24"/>
    <w:rsid w:val="00BD7EC3"/>
    <w:rsid w:val="00BE049B"/>
    <w:rsid w:val="00BE0825"/>
    <w:rsid w:val="00BE13CB"/>
    <w:rsid w:val="00BE1F9E"/>
    <w:rsid w:val="00BE2557"/>
    <w:rsid w:val="00BE2BBC"/>
    <w:rsid w:val="00BE2BF8"/>
    <w:rsid w:val="00BE3B1E"/>
    <w:rsid w:val="00BE46F4"/>
    <w:rsid w:val="00BE4F54"/>
    <w:rsid w:val="00BE525E"/>
    <w:rsid w:val="00BE5C59"/>
    <w:rsid w:val="00BE627E"/>
    <w:rsid w:val="00BE70A6"/>
    <w:rsid w:val="00BE71DD"/>
    <w:rsid w:val="00BF1808"/>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713"/>
    <w:rsid w:val="00C25F98"/>
    <w:rsid w:val="00C26867"/>
    <w:rsid w:val="00C27879"/>
    <w:rsid w:val="00C30240"/>
    <w:rsid w:val="00C30D95"/>
    <w:rsid w:val="00C3135C"/>
    <w:rsid w:val="00C3244D"/>
    <w:rsid w:val="00C33102"/>
    <w:rsid w:val="00C3337E"/>
    <w:rsid w:val="00C34977"/>
    <w:rsid w:val="00C352FA"/>
    <w:rsid w:val="00C35794"/>
    <w:rsid w:val="00C35D3E"/>
    <w:rsid w:val="00C36019"/>
    <w:rsid w:val="00C37B62"/>
    <w:rsid w:val="00C37D48"/>
    <w:rsid w:val="00C40234"/>
    <w:rsid w:val="00C4058E"/>
    <w:rsid w:val="00C4062D"/>
    <w:rsid w:val="00C419A1"/>
    <w:rsid w:val="00C425DF"/>
    <w:rsid w:val="00C43124"/>
    <w:rsid w:val="00C431D9"/>
    <w:rsid w:val="00C44592"/>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7C19"/>
    <w:rsid w:val="00C6D1CB"/>
    <w:rsid w:val="00C700B7"/>
    <w:rsid w:val="00C70434"/>
    <w:rsid w:val="00C71045"/>
    <w:rsid w:val="00C711D3"/>
    <w:rsid w:val="00C712F1"/>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6B0"/>
    <w:rsid w:val="00CA0DAE"/>
    <w:rsid w:val="00CA0E49"/>
    <w:rsid w:val="00CA1535"/>
    <w:rsid w:val="00CA4501"/>
    <w:rsid w:val="00CA5087"/>
    <w:rsid w:val="00CA58EE"/>
    <w:rsid w:val="00CA6FF3"/>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1C4F"/>
    <w:rsid w:val="00CE1F02"/>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84B"/>
    <w:rsid w:val="00D43237"/>
    <w:rsid w:val="00D4323A"/>
    <w:rsid w:val="00D442ED"/>
    <w:rsid w:val="00D44C0E"/>
    <w:rsid w:val="00D46116"/>
    <w:rsid w:val="00D46297"/>
    <w:rsid w:val="00D4693D"/>
    <w:rsid w:val="00D46B07"/>
    <w:rsid w:val="00D47404"/>
    <w:rsid w:val="00D510DA"/>
    <w:rsid w:val="00D53604"/>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A7D46"/>
    <w:rsid w:val="00DB02EB"/>
    <w:rsid w:val="00DB1960"/>
    <w:rsid w:val="00DB1E72"/>
    <w:rsid w:val="00DB2336"/>
    <w:rsid w:val="00DB2C4B"/>
    <w:rsid w:val="00DB2CAA"/>
    <w:rsid w:val="00DB3C68"/>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3E9B"/>
    <w:rsid w:val="00DE78F0"/>
    <w:rsid w:val="00DF001D"/>
    <w:rsid w:val="00DF0A63"/>
    <w:rsid w:val="00DF10A1"/>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052"/>
    <w:rsid w:val="00E25259"/>
    <w:rsid w:val="00E25EAF"/>
    <w:rsid w:val="00E26760"/>
    <w:rsid w:val="00E321EB"/>
    <w:rsid w:val="00E32892"/>
    <w:rsid w:val="00E330BA"/>
    <w:rsid w:val="00E3352A"/>
    <w:rsid w:val="00E34DED"/>
    <w:rsid w:val="00E36346"/>
    <w:rsid w:val="00E368E8"/>
    <w:rsid w:val="00E36D6E"/>
    <w:rsid w:val="00E37C8B"/>
    <w:rsid w:val="00E37ECE"/>
    <w:rsid w:val="00E405B9"/>
    <w:rsid w:val="00E41941"/>
    <w:rsid w:val="00E425D4"/>
    <w:rsid w:val="00E43229"/>
    <w:rsid w:val="00E454C9"/>
    <w:rsid w:val="00E45558"/>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F88"/>
    <w:rsid w:val="00E8066C"/>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D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574"/>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3ABB"/>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46FEC"/>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5504"/>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7AE"/>
    <w:rsid w:val="00FA4B8D"/>
    <w:rsid w:val="00FA6DED"/>
    <w:rsid w:val="00FA76DF"/>
    <w:rsid w:val="00FA78EA"/>
    <w:rsid w:val="00FB5A70"/>
    <w:rsid w:val="00FB64C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7844875">
      <w:bodyDiv w:val="1"/>
      <w:marLeft w:val="0"/>
      <w:marRight w:val="0"/>
      <w:marTop w:val="0"/>
      <w:marBottom w:val="0"/>
      <w:divBdr>
        <w:top w:val="none" w:sz="0" w:space="0" w:color="auto"/>
        <w:left w:val="none" w:sz="0" w:space="0" w:color="auto"/>
        <w:bottom w:val="none" w:sz="0" w:space="0" w:color="auto"/>
        <w:right w:val="none" w:sz="0" w:space="0" w:color="auto"/>
      </w:divBdr>
      <w:divsChild>
        <w:div w:id="1073501841">
          <w:marLeft w:val="0"/>
          <w:marRight w:val="0"/>
          <w:marTop w:val="0"/>
          <w:marBottom w:val="0"/>
          <w:divBdr>
            <w:top w:val="none" w:sz="0" w:space="0" w:color="auto"/>
            <w:left w:val="none" w:sz="0" w:space="0" w:color="auto"/>
            <w:bottom w:val="none" w:sz="0" w:space="0" w:color="auto"/>
            <w:right w:val="none" w:sz="0" w:space="0" w:color="auto"/>
          </w:divBdr>
          <w:divsChild>
            <w:div w:id="1973897329">
              <w:marLeft w:val="0"/>
              <w:marRight w:val="0"/>
              <w:marTop w:val="0"/>
              <w:marBottom w:val="0"/>
              <w:divBdr>
                <w:top w:val="none" w:sz="0" w:space="0" w:color="auto"/>
                <w:left w:val="none" w:sz="0" w:space="0" w:color="auto"/>
                <w:bottom w:val="none" w:sz="0" w:space="0" w:color="auto"/>
                <w:right w:val="none" w:sz="0" w:space="0" w:color="auto"/>
              </w:divBdr>
              <w:divsChild>
                <w:div w:id="940645805">
                  <w:marLeft w:val="0"/>
                  <w:marRight w:val="0"/>
                  <w:marTop w:val="120"/>
                  <w:marBottom w:val="0"/>
                  <w:divBdr>
                    <w:top w:val="none" w:sz="0" w:space="0" w:color="auto"/>
                    <w:left w:val="none" w:sz="0" w:space="0" w:color="auto"/>
                    <w:bottom w:val="none" w:sz="0" w:space="0" w:color="auto"/>
                    <w:right w:val="none" w:sz="0" w:space="0" w:color="auto"/>
                  </w:divBdr>
                </w:div>
                <w:div w:id="2032679823">
                  <w:marLeft w:val="0"/>
                  <w:marRight w:val="0"/>
                  <w:marTop w:val="0"/>
                  <w:marBottom w:val="0"/>
                  <w:divBdr>
                    <w:top w:val="none" w:sz="0" w:space="0" w:color="auto"/>
                    <w:left w:val="none" w:sz="0" w:space="0" w:color="auto"/>
                    <w:bottom w:val="none" w:sz="0" w:space="0" w:color="auto"/>
                    <w:right w:val="none" w:sz="0" w:space="0" w:color="auto"/>
                  </w:divBdr>
                </w:div>
              </w:divsChild>
            </w:div>
            <w:div w:id="1471511433">
              <w:marLeft w:val="0"/>
              <w:marRight w:val="0"/>
              <w:marTop w:val="0"/>
              <w:marBottom w:val="0"/>
              <w:divBdr>
                <w:top w:val="none" w:sz="0" w:space="0" w:color="auto"/>
                <w:left w:val="none" w:sz="0" w:space="0" w:color="auto"/>
                <w:bottom w:val="none" w:sz="0" w:space="0" w:color="auto"/>
                <w:right w:val="none" w:sz="0" w:space="0" w:color="auto"/>
              </w:divBdr>
              <w:divsChild>
                <w:div w:id="672495800">
                  <w:marLeft w:val="0"/>
                  <w:marRight w:val="0"/>
                  <w:marTop w:val="120"/>
                  <w:marBottom w:val="0"/>
                  <w:divBdr>
                    <w:top w:val="none" w:sz="0" w:space="0" w:color="auto"/>
                    <w:left w:val="none" w:sz="0" w:space="0" w:color="auto"/>
                    <w:bottom w:val="none" w:sz="0" w:space="0" w:color="auto"/>
                    <w:right w:val="none" w:sz="0" w:space="0" w:color="auto"/>
                  </w:divBdr>
                </w:div>
                <w:div w:id="1577738679">
                  <w:marLeft w:val="0"/>
                  <w:marRight w:val="0"/>
                  <w:marTop w:val="0"/>
                  <w:marBottom w:val="0"/>
                  <w:divBdr>
                    <w:top w:val="none" w:sz="0" w:space="0" w:color="auto"/>
                    <w:left w:val="none" w:sz="0" w:space="0" w:color="auto"/>
                    <w:bottom w:val="none" w:sz="0" w:space="0" w:color="auto"/>
                    <w:right w:val="none" w:sz="0" w:space="0" w:color="auto"/>
                  </w:divBdr>
                </w:div>
              </w:divsChild>
            </w:div>
            <w:div w:id="2021273883">
              <w:marLeft w:val="0"/>
              <w:marRight w:val="0"/>
              <w:marTop w:val="0"/>
              <w:marBottom w:val="0"/>
              <w:divBdr>
                <w:top w:val="none" w:sz="0" w:space="0" w:color="auto"/>
                <w:left w:val="none" w:sz="0" w:space="0" w:color="auto"/>
                <w:bottom w:val="none" w:sz="0" w:space="0" w:color="auto"/>
                <w:right w:val="none" w:sz="0" w:space="0" w:color="auto"/>
              </w:divBdr>
              <w:divsChild>
                <w:div w:id="1938520068">
                  <w:marLeft w:val="0"/>
                  <w:marRight w:val="0"/>
                  <w:marTop w:val="120"/>
                  <w:marBottom w:val="0"/>
                  <w:divBdr>
                    <w:top w:val="none" w:sz="0" w:space="0" w:color="auto"/>
                    <w:left w:val="none" w:sz="0" w:space="0" w:color="auto"/>
                    <w:bottom w:val="none" w:sz="0" w:space="0" w:color="auto"/>
                    <w:right w:val="none" w:sz="0" w:space="0" w:color="auto"/>
                  </w:divBdr>
                </w:div>
                <w:div w:id="1782452615">
                  <w:marLeft w:val="0"/>
                  <w:marRight w:val="0"/>
                  <w:marTop w:val="0"/>
                  <w:marBottom w:val="0"/>
                  <w:divBdr>
                    <w:top w:val="none" w:sz="0" w:space="0" w:color="auto"/>
                    <w:left w:val="none" w:sz="0" w:space="0" w:color="auto"/>
                    <w:bottom w:val="none" w:sz="0" w:space="0" w:color="auto"/>
                    <w:right w:val="none" w:sz="0" w:space="0" w:color="auto"/>
                  </w:divBdr>
                </w:div>
              </w:divsChild>
            </w:div>
            <w:div w:id="1107584019">
              <w:marLeft w:val="0"/>
              <w:marRight w:val="0"/>
              <w:marTop w:val="0"/>
              <w:marBottom w:val="0"/>
              <w:divBdr>
                <w:top w:val="none" w:sz="0" w:space="0" w:color="auto"/>
                <w:left w:val="none" w:sz="0" w:space="0" w:color="auto"/>
                <w:bottom w:val="none" w:sz="0" w:space="0" w:color="auto"/>
                <w:right w:val="none" w:sz="0" w:space="0" w:color="auto"/>
              </w:divBdr>
              <w:divsChild>
                <w:div w:id="1670667945">
                  <w:marLeft w:val="0"/>
                  <w:marRight w:val="0"/>
                  <w:marTop w:val="120"/>
                  <w:marBottom w:val="0"/>
                  <w:divBdr>
                    <w:top w:val="none" w:sz="0" w:space="0" w:color="auto"/>
                    <w:left w:val="none" w:sz="0" w:space="0" w:color="auto"/>
                    <w:bottom w:val="none" w:sz="0" w:space="0" w:color="auto"/>
                    <w:right w:val="none" w:sz="0" w:space="0" w:color="auto"/>
                  </w:divBdr>
                </w:div>
                <w:div w:id="293874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79036">
      <w:bodyDiv w:val="1"/>
      <w:marLeft w:val="0"/>
      <w:marRight w:val="0"/>
      <w:marTop w:val="0"/>
      <w:marBottom w:val="0"/>
      <w:divBdr>
        <w:top w:val="none" w:sz="0" w:space="0" w:color="auto"/>
        <w:left w:val="none" w:sz="0" w:space="0" w:color="auto"/>
        <w:bottom w:val="none" w:sz="0" w:space="0" w:color="auto"/>
        <w:right w:val="none" w:sz="0" w:space="0" w:color="auto"/>
      </w:divBdr>
      <w:divsChild>
        <w:div w:id="1289749512">
          <w:marLeft w:val="0"/>
          <w:marRight w:val="0"/>
          <w:marTop w:val="120"/>
          <w:marBottom w:val="0"/>
          <w:divBdr>
            <w:top w:val="none" w:sz="0" w:space="0" w:color="auto"/>
            <w:left w:val="none" w:sz="0" w:space="0" w:color="auto"/>
            <w:bottom w:val="none" w:sz="0" w:space="0" w:color="auto"/>
            <w:right w:val="none" w:sz="0" w:space="0" w:color="auto"/>
          </w:divBdr>
        </w:div>
        <w:div w:id="655183924">
          <w:marLeft w:val="0"/>
          <w:marRight w:val="0"/>
          <w:marTop w:val="0"/>
          <w:marBottom w:val="0"/>
          <w:divBdr>
            <w:top w:val="none" w:sz="0" w:space="0" w:color="auto"/>
            <w:left w:val="none" w:sz="0" w:space="0" w:color="auto"/>
            <w:bottom w:val="none" w:sz="0" w:space="0" w:color="auto"/>
            <w:right w:val="none" w:sz="0" w:space="0" w:color="auto"/>
          </w:divBdr>
        </w:div>
      </w:divsChild>
    </w:div>
    <w:div w:id="343359533">
      <w:bodyDiv w:val="1"/>
      <w:marLeft w:val="0"/>
      <w:marRight w:val="0"/>
      <w:marTop w:val="0"/>
      <w:marBottom w:val="0"/>
      <w:divBdr>
        <w:top w:val="none" w:sz="0" w:space="0" w:color="auto"/>
        <w:left w:val="none" w:sz="0" w:space="0" w:color="auto"/>
        <w:bottom w:val="none" w:sz="0" w:space="0" w:color="auto"/>
        <w:right w:val="none" w:sz="0" w:space="0" w:color="auto"/>
      </w:divBdr>
    </w:div>
    <w:div w:id="350844046">
      <w:bodyDiv w:val="1"/>
      <w:marLeft w:val="0"/>
      <w:marRight w:val="0"/>
      <w:marTop w:val="0"/>
      <w:marBottom w:val="0"/>
      <w:divBdr>
        <w:top w:val="none" w:sz="0" w:space="0" w:color="auto"/>
        <w:left w:val="none" w:sz="0" w:space="0" w:color="auto"/>
        <w:bottom w:val="none" w:sz="0" w:space="0" w:color="auto"/>
        <w:right w:val="none" w:sz="0" w:space="0" w:color="auto"/>
      </w:divBdr>
      <w:divsChild>
        <w:div w:id="2108111806">
          <w:marLeft w:val="0"/>
          <w:marRight w:val="0"/>
          <w:marTop w:val="0"/>
          <w:marBottom w:val="0"/>
          <w:divBdr>
            <w:top w:val="none" w:sz="0" w:space="0" w:color="auto"/>
            <w:left w:val="none" w:sz="0" w:space="0" w:color="auto"/>
            <w:bottom w:val="none" w:sz="0" w:space="0" w:color="auto"/>
            <w:right w:val="none" w:sz="0" w:space="0" w:color="auto"/>
          </w:divBdr>
          <w:divsChild>
            <w:div w:id="1901138521">
              <w:marLeft w:val="0"/>
              <w:marRight w:val="0"/>
              <w:marTop w:val="0"/>
              <w:marBottom w:val="0"/>
              <w:divBdr>
                <w:top w:val="none" w:sz="0" w:space="0" w:color="auto"/>
                <w:left w:val="none" w:sz="0" w:space="0" w:color="auto"/>
                <w:bottom w:val="none" w:sz="0" w:space="0" w:color="auto"/>
                <w:right w:val="none" w:sz="0" w:space="0" w:color="auto"/>
              </w:divBdr>
            </w:div>
          </w:divsChild>
        </w:div>
        <w:div w:id="1681009397">
          <w:marLeft w:val="0"/>
          <w:marRight w:val="0"/>
          <w:marTop w:val="0"/>
          <w:marBottom w:val="0"/>
          <w:divBdr>
            <w:top w:val="none" w:sz="0" w:space="0" w:color="auto"/>
            <w:left w:val="none" w:sz="0" w:space="0" w:color="auto"/>
            <w:bottom w:val="none" w:sz="0" w:space="0" w:color="auto"/>
            <w:right w:val="none" w:sz="0" w:space="0" w:color="auto"/>
          </w:divBdr>
          <w:divsChild>
            <w:div w:id="1944148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2507266">
      <w:bodyDiv w:val="1"/>
      <w:marLeft w:val="0"/>
      <w:marRight w:val="0"/>
      <w:marTop w:val="0"/>
      <w:marBottom w:val="0"/>
      <w:divBdr>
        <w:top w:val="none" w:sz="0" w:space="0" w:color="auto"/>
        <w:left w:val="none" w:sz="0" w:space="0" w:color="auto"/>
        <w:bottom w:val="none" w:sz="0" w:space="0" w:color="auto"/>
        <w:right w:val="none" w:sz="0" w:space="0" w:color="auto"/>
      </w:divBdr>
    </w:div>
    <w:div w:id="433332602">
      <w:bodyDiv w:val="1"/>
      <w:marLeft w:val="0"/>
      <w:marRight w:val="0"/>
      <w:marTop w:val="0"/>
      <w:marBottom w:val="0"/>
      <w:divBdr>
        <w:top w:val="none" w:sz="0" w:space="0" w:color="auto"/>
        <w:left w:val="none" w:sz="0" w:space="0" w:color="auto"/>
        <w:bottom w:val="none" w:sz="0" w:space="0" w:color="auto"/>
        <w:right w:val="none" w:sz="0" w:space="0" w:color="auto"/>
      </w:divBdr>
      <w:divsChild>
        <w:div w:id="780228585">
          <w:marLeft w:val="0"/>
          <w:marRight w:val="0"/>
          <w:marTop w:val="0"/>
          <w:marBottom w:val="0"/>
          <w:divBdr>
            <w:top w:val="none" w:sz="0" w:space="0" w:color="auto"/>
            <w:left w:val="none" w:sz="0" w:space="0" w:color="auto"/>
            <w:bottom w:val="none" w:sz="0" w:space="0" w:color="auto"/>
            <w:right w:val="none" w:sz="0" w:space="0" w:color="auto"/>
          </w:divBdr>
          <w:divsChild>
            <w:div w:id="1223176359">
              <w:marLeft w:val="0"/>
              <w:marRight w:val="0"/>
              <w:marTop w:val="0"/>
              <w:marBottom w:val="0"/>
              <w:divBdr>
                <w:top w:val="none" w:sz="0" w:space="0" w:color="auto"/>
                <w:left w:val="none" w:sz="0" w:space="0" w:color="auto"/>
                <w:bottom w:val="none" w:sz="0" w:space="0" w:color="auto"/>
                <w:right w:val="none" w:sz="0" w:space="0" w:color="auto"/>
              </w:divBdr>
              <w:divsChild>
                <w:div w:id="1255868937">
                  <w:marLeft w:val="0"/>
                  <w:marRight w:val="0"/>
                  <w:marTop w:val="120"/>
                  <w:marBottom w:val="0"/>
                  <w:divBdr>
                    <w:top w:val="none" w:sz="0" w:space="0" w:color="auto"/>
                    <w:left w:val="none" w:sz="0" w:space="0" w:color="auto"/>
                    <w:bottom w:val="none" w:sz="0" w:space="0" w:color="auto"/>
                    <w:right w:val="none" w:sz="0" w:space="0" w:color="auto"/>
                  </w:divBdr>
                </w:div>
                <w:div w:id="2007129400">
                  <w:marLeft w:val="0"/>
                  <w:marRight w:val="0"/>
                  <w:marTop w:val="0"/>
                  <w:marBottom w:val="0"/>
                  <w:divBdr>
                    <w:top w:val="none" w:sz="0" w:space="0" w:color="auto"/>
                    <w:left w:val="none" w:sz="0" w:space="0" w:color="auto"/>
                    <w:bottom w:val="none" w:sz="0" w:space="0" w:color="auto"/>
                    <w:right w:val="none" w:sz="0" w:space="0" w:color="auto"/>
                  </w:divBdr>
                </w:div>
              </w:divsChild>
            </w:div>
            <w:div w:id="906301058">
              <w:marLeft w:val="0"/>
              <w:marRight w:val="0"/>
              <w:marTop w:val="0"/>
              <w:marBottom w:val="0"/>
              <w:divBdr>
                <w:top w:val="none" w:sz="0" w:space="0" w:color="auto"/>
                <w:left w:val="none" w:sz="0" w:space="0" w:color="auto"/>
                <w:bottom w:val="none" w:sz="0" w:space="0" w:color="auto"/>
                <w:right w:val="none" w:sz="0" w:space="0" w:color="auto"/>
              </w:divBdr>
              <w:divsChild>
                <w:div w:id="392778968">
                  <w:marLeft w:val="0"/>
                  <w:marRight w:val="0"/>
                  <w:marTop w:val="120"/>
                  <w:marBottom w:val="0"/>
                  <w:divBdr>
                    <w:top w:val="none" w:sz="0" w:space="0" w:color="auto"/>
                    <w:left w:val="none" w:sz="0" w:space="0" w:color="auto"/>
                    <w:bottom w:val="none" w:sz="0" w:space="0" w:color="auto"/>
                    <w:right w:val="none" w:sz="0" w:space="0" w:color="auto"/>
                  </w:divBdr>
                </w:div>
                <w:div w:id="298657476">
                  <w:marLeft w:val="0"/>
                  <w:marRight w:val="0"/>
                  <w:marTop w:val="0"/>
                  <w:marBottom w:val="0"/>
                  <w:divBdr>
                    <w:top w:val="none" w:sz="0" w:space="0" w:color="auto"/>
                    <w:left w:val="none" w:sz="0" w:space="0" w:color="auto"/>
                    <w:bottom w:val="none" w:sz="0" w:space="0" w:color="auto"/>
                    <w:right w:val="none" w:sz="0" w:space="0" w:color="auto"/>
                  </w:divBdr>
                </w:div>
              </w:divsChild>
            </w:div>
            <w:div w:id="631398508">
              <w:marLeft w:val="0"/>
              <w:marRight w:val="0"/>
              <w:marTop w:val="0"/>
              <w:marBottom w:val="0"/>
              <w:divBdr>
                <w:top w:val="none" w:sz="0" w:space="0" w:color="auto"/>
                <w:left w:val="none" w:sz="0" w:space="0" w:color="auto"/>
                <w:bottom w:val="none" w:sz="0" w:space="0" w:color="auto"/>
                <w:right w:val="none" w:sz="0" w:space="0" w:color="auto"/>
              </w:divBdr>
              <w:divsChild>
                <w:div w:id="315115700">
                  <w:marLeft w:val="0"/>
                  <w:marRight w:val="0"/>
                  <w:marTop w:val="120"/>
                  <w:marBottom w:val="0"/>
                  <w:divBdr>
                    <w:top w:val="none" w:sz="0" w:space="0" w:color="auto"/>
                    <w:left w:val="none" w:sz="0" w:space="0" w:color="auto"/>
                    <w:bottom w:val="none" w:sz="0" w:space="0" w:color="auto"/>
                    <w:right w:val="none" w:sz="0" w:space="0" w:color="auto"/>
                  </w:divBdr>
                </w:div>
                <w:div w:id="853036856">
                  <w:marLeft w:val="0"/>
                  <w:marRight w:val="0"/>
                  <w:marTop w:val="0"/>
                  <w:marBottom w:val="0"/>
                  <w:divBdr>
                    <w:top w:val="none" w:sz="0" w:space="0" w:color="auto"/>
                    <w:left w:val="none" w:sz="0" w:space="0" w:color="auto"/>
                    <w:bottom w:val="none" w:sz="0" w:space="0" w:color="auto"/>
                    <w:right w:val="none" w:sz="0" w:space="0" w:color="auto"/>
                  </w:divBdr>
                </w:div>
              </w:divsChild>
            </w:div>
            <w:div w:id="1523517785">
              <w:marLeft w:val="0"/>
              <w:marRight w:val="0"/>
              <w:marTop w:val="0"/>
              <w:marBottom w:val="0"/>
              <w:divBdr>
                <w:top w:val="none" w:sz="0" w:space="0" w:color="auto"/>
                <w:left w:val="none" w:sz="0" w:space="0" w:color="auto"/>
                <w:bottom w:val="none" w:sz="0" w:space="0" w:color="auto"/>
                <w:right w:val="none" w:sz="0" w:space="0" w:color="auto"/>
              </w:divBdr>
              <w:divsChild>
                <w:div w:id="600841875">
                  <w:marLeft w:val="0"/>
                  <w:marRight w:val="0"/>
                  <w:marTop w:val="120"/>
                  <w:marBottom w:val="0"/>
                  <w:divBdr>
                    <w:top w:val="none" w:sz="0" w:space="0" w:color="auto"/>
                    <w:left w:val="none" w:sz="0" w:space="0" w:color="auto"/>
                    <w:bottom w:val="none" w:sz="0" w:space="0" w:color="auto"/>
                    <w:right w:val="none" w:sz="0" w:space="0" w:color="auto"/>
                  </w:divBdr>
                </w:div>
                <w:div w:id="47994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0282471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568749">
      <w:bodyDiv w:val="1"/>
      <w:marLeft w:val="0"/>
      <w:marRight w:val="0"/>
      <w:marTop w:val="0"/>
      <w:marBottom w:val="0"/>
      <w:divBdr>
        <w:top w:val="none" w:sz="0" w:space="0" w:color="auto"/>
        <w:left w:val="none" w:sz="0" w:space="0" w:color="auto"/>
        <w:bottom w:val="none" w:sz="0" w:space="0" w:color="auto"/>
        <w:right w:val="none" w:sz="0" w:space="0" w:color="auto"/>
      </w:divBdr>
      <w:divsChild>
        <w:div w:id="2139571268">
          <w:marLeft w:val="0"/>
          <w:marRight w:val="0"/>
          <w:marTop w:val="0"/>
          <w:marBottom w:val="0"/>
          <w:divBdr>
            <w:top w:val="none" w:sz="0" w:space="0" w:color="auto"/>
            <w:left w:val="none" w:sz="0" w:space="0" w:color="auto"/>
            <w:bottom w:val="none" w:sz="0" w:space="0" w:color="auto"/>
            <w:right w:val="none" w:sz="0" w:space="0" w:color="auto"/>
          </w:divBdr>
          <w:divsChild>
            <w:div w:id="314922553">
              <w:marLeft w:val="0"/>
              <w:marRight w:val="0"/>
              <w:marTop w:val="120"/>
              <w:marBottom w:val="0"/>
              <w:divBdr>
                <w:top w:val="none" w:sz="0" w:space="0" w:color="auto"/>
                <w:left w:val="none" w:sz="0" w:space="0" w:color="auto"/>
                <w:bottom w:val="none" w:sz="0" w:space="0" w:color="auto"/>
                <w:right w:val="none" w:sz="0" w:space="0" w:color="auto"/>
              </w:divBdr>
            </w:div>
            <w:div w:id="1753307402">
              <w:marLeft w:val="0"/>
              <w:marRight w:val="0"/>
              <w:marTop w:val="0"/>
              <w:marBottom w:val="0"/>
              <w:divBdr>
                <w:top w:val="none" w:sz="0" w:space="0" w:color="auto"/>
                <w:left w:val="none" w:sz="0" w:space="0" w:color="auto"/>
                <w:bottom w:val="none" w:sz="0" w:space="0" w:color="auto"/>
                <w:right w:val="none" w:sz="0" w:space="0" w:color="auto"/>
              </w:divBdr>
            </w:div>
          </w:divsChild>
        </w:div>
        <w:div w:id="870386994">
          <w:marLeft w:val="0"/>
          <w:marRight w:val="0"/>
          <w:marTop w:val="0"/>
          <w:marBottom w:val="0"/>
          <w:divBdr>
            <w:top w:val="none" w:sz="0" w:space="0" w:color="auto"/>
            <w:left w:val="none" w:sz="0" w:space="0" w:color="auto"/>
            <w:bottom w:val="none" w:sz="0" w:space="0" w:color="auto"/>
            <w:right w:val="none" w:sz="0" w:space="0" w:color="auto"/>
          </w:divBdr>
          <w:divsChild>
            <w:div w:id="1962374257">
              <w:marLeft w:val="0"/>
              <w:marRight w:val="0"/>
              <w:marTop w:val="120"/>
              <w:marBottom w:val="0"/>
              <w:divBdr>
                <w:top w:val="none" w:sz="0" w:space="0" w:color="auto"/>
                <w:left w:val="none" w:sz="0" w:space="0" w:color="auto"/>
                <w:bottom w:val="none" w:sz="0" w:space="0" w:color="auto"/>
                <w:right w:val="none" w:sz="0" w:space="0" w:color="auto"/>
              </w:divBdr>
            </w:div>
            <w:div w:id="98431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451951">
      <w:bodyDiv w:val="1"/>
      <w:marLeft w:val="0"/>
      <w:marRight w:val="0"/>
      <w:marTop w:val="0"/>
      <w:marBottom w:val="0"/>
      <w:divBdr>
        <w:top w:val="none" w:sz="0" w:space="0" w:color="auto"/>
        <w:left w:val="none" w:sz="0" w:space="0" w:color="auto"/>
        <w:bottom w:val="none" w:sz="0" w:space="0" w:color="auto"/>
        <w:right w:val="none" w:sz="0" w:space="0" w:color="auto"/>
      </w:divBdr>
    </w:div>
    <w:div w:id="1405106908">
      <w:bodyDiv w:val="1"/>
      <w:marLeft w:val="0"/>
      <w:marRight w:val="0"/>
      <w:marTop w:val="0"/>
      <w:marBottom w:val="0"/>
      <w:divBdr>
        <w:top w:val="none" w:sz="0" w:space="0" w:color="auto"/>
        <w:left w:val="none" w:sz="0" w:space="0" w:color="auto"/>
        <w:bottom w:val="none" w:sz="0" w:space="0" w:color="auto"/>
        <w:right w:val="none" w:sz="0" w:space="0" w:color="auto"/>
      </w:divBdr>
      <w:divsChild>
        <w:div w:id="870268645">
          <w:marLeft w:val="0"/>
          <w:marRight w:val="0"/>
          <w:marTop w:val="0"/>
          <w:marBottom w:val="0"/>
          <w:divBdr>
            <w:top w:val="none" w:sz="0" w:space="0" w:color="auto"/>
            <w:left w:val="none" w:sz="0" w:space="0" w:color="auto"/>
            <w:bottom w:val="none" w:sz="0" w:space="0" w:color="auto"/>
            <w:right w:val="none" w:sz="0" w:space="0" w:color="auto"/>
          </w:divBdr>
          <w:divsChild>
            <w:div w:id="1269701833">
              <w:marLeft w:val="0"/>
              <w:marRight w:val="0"/>
              <w:marTop w:val="0"/>
              <w:marBottom w:val="0"/>
              <w:divBdr>
                <w:top w:val="none" w:sz="0" w:space="0" w:color="auto"/>
                <w:left w:val="none" w:sz="0" w:space="0" w:color="auto"/>
                <w:bottom w:val="none" w:sz="0" w:space="0" w:color="auto"/>
                <w:right w:val="none" w:sz="0" w:space="0" w:color="auto"/>
              </w:divBdr>
            </w:div>
            <w:div w:id="1261374219">
              <w:marLeft w:val="0"/>
              <w:marRight w:val="0"/>
              <w:marTop w:val="0"/>
              <w:marBottom w:val="0"/>
              <w:divBdr>
                <w:top w:val="none" w:sz="0" w:space="0" w:color="auto"/>
                <w:left w:val="none" w:sz="0" w:space="0" w:color="auto"/>
                <w:bottom w:val="none" w:sz="0" w:space="0" w:color="auto"/>
                <w:right w:val="none" w:sz="0" w:space="0" w:color="auto"/>
              </w:divBdr>
            </w:div>
          </w:divsChild>
        </w:div>
        <w:div w:id="1865289738">
          <w:marLeft w:val="0"/>
          <w:marRight w:val="0"/>
          <w:marTop w:val="0"/>
          <w:marBottom w:val="0"/>
          <w:divBdr>
            <w:top w:val="none" w:sz="0" w:space="0" w:color="auto"/>
            <w:left w:val="none" w:sz="0" w:space="0" w:color="auto"/>
            <w:bottom w:val="none" w:sz="0" w:space="0" w:color="auto"/>
            <w:right w:val="none" w:sz="0" w:space="0" w:color="auto"/>
          </w:divBdr>
          <w:divsChild>
            <w:div w:id="1786775435">
              <w:marLeft w:val="0"/>
              <w:marRight w:val="0"/>
              <w:marTop w:val="0"/>
              <w:marBottom w:val="0"/>
              <w:divBdr>
                <w:top w:val="none" w:sz="0" w:space="0" w:color="auto"/>
                <w:left w:val="none" w:sz="0" w:space="0" w:color="auto"/>
                <w:bottom w:val="none" w:sz="0" w:space="0" w:color="auto"/>
                <w:right w:val="none" w:sz="0" w:space="0" w:color="auto"/>
              </w:divBdr>
            </w:div>
            <w:div w:id="1468086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4518376">
      <w:bodyDiv w:val="1"/>
      <w:marLeft w:val="0"/>
      <w:marRight w:val="0"/>
      <w:marTop w:val="0"/>
      <w:marBottom w:val="0"/>
      <w:divBdr>
        <w:top w:val="none" w:sz="0" w:space="0" w:color="auto"/>
        <w:left w:val="none" w:sz="0" w:space="0" w:color="auto"/>
        <w:bottom w:val="none" w:sz="0" w:space="0" w:color="auto"/>
        <w:right w:val="none" w:sz="0" w:space="0" w:color="auto"/>
      </w:divBdr>
      <w:divsChild>
        <w:div w:id="1435977584">
          <w:marLeft w:val="0"/>
          <w:marRight w:val="0"/>
          <w:marTop w:val="0"/>
          <w:marBottom w:val="0"/>
          <w:divBdr>
            <w:top w:val="none" w:sz="0" w:space="0" w:color="auto"/>
            <w:left w:val="none" w:sz="0" w:space="0" w:color="auto"/>
            <w:bottom w:val="none" w:sz="0" w:space="0" w:color="auto"/>
            <w:right w:val="none" w:sz="0" w:space="0" w:color="auto"/>
          </w:divBdr>
          <w:divsChild>
            <w:div w:id="1708329795">
              <w:marLeft w:val="0"/>
              <w:marRight w:val="0"/>
              <w:marTop w:val="0"/>
              <w:marBottom w:val="0"/>
              <w:divBdr>
                <w:top w:val="none" w:sz="0" w:space="0" w:color="auto"/>
                <w:left w:val="none" w:sz="0" w:space="0" w:color="auto"/>
                <w:bottom w:val="none" w:sz="0" w:space="0" w:color="auto"/>
                <w:right w:val="none" w:sz="0" w:space="0" w:color="auto"/>
              </w:divBdr>
            </w:div>
            <w:div w:id="181867887">
              <w:marLeft w:val="0"/>
              <w:marRight w:val="0"/>
              <w:marTop w:val="0"/>
              <w:marBottom w:val="0"/>
              <w:divBdr>
                <w:top w:val="none" w:sz="0" w:space="0" w:color="auto"/>
                <w:left w:val="none" w:sz="0" w:space="0" w:color="auto"/>
                <w:bottom w:val="none" w:sz="0" w:space="0" w:color="auto"/>
                <w:right w:val="none" w:sz="0" w:space="0" w:color="auto"/>
              </w:divBdr>
            </w:div>
          </w:divsChild>
        </w:div>
        <w:div w:id="355695955">
          <w:marLeft w:val="0"/>
          <w:marRight w:val="0"/>
          <w:marTop w:val="0"/>
          <w:marBottom w:val="0"/>
          <w:divBdr>
            <w:top w:val="none" w:sz="0" w:space="0" w:color="auto"/>
            <w:left w:val="none" w:sz="0" w:space="0" w:color="auto"/>
            <w:bottom w:val="none" w:sz="0" w:space="0" w:color="auto"/>
            <w:right w:val="none" w:sz="0" w:space="0" w:color="auto"/>
          </w:divBdr>
          <w:divsChild>
            <w:div w:id="840656612">
              <w:marLeft w:val="0"/>
              <w:marRight w:val="0"/>
              <w:marTop w:val="0"/>
              <w:marBottom w:val="0"/>
              <w:divBdr>
                <w:top w:val="none" w:sz="0" w:space="0" w:color="auto"/>
                <w:left w:val="none" w:sz="0" w:space="0" w:color="auto"/>
                <w:bottom w:val="none" w:sz="0" w:space="0" w:color="auto"/>
                <w:right w:val="none" w:sz="0" w:space="0" w:color="auto"/>
              </w:divBdr>
            </w:div>
            <w:div w:id="1528639388">
              <w:marLeft w:val="0"/>
              <w:marRight w:val="0"/>
              <w:marTop w:val="0"/>
              <w:marBottom w:val="0"/>
              <w:divBdr>
                <w:top w:val="none" w:sz="0" w:space="0" w:color="auto"/>
                <w:left w:val="none" w:sz="0" w:space="0" w:color="auto"/>
                <w:bottom w:val="none" w:sz="0" w:space="0" w:color="auto"/>
                <w:right w:val="none" w:sz="0" w:space="0" w:color="auto"/>
              </w:divBdr>
            </w:div>
          </w:divsChild>
        </w:div>
        <w:div w:id="1438402023">
          <w:marLeft w:val="0"/>
          <w:marRight w:val="0"/>
          <w:marTop w:val="0"/>
          <w:marBottom w:val="0"/>
          <w:divBdr>
            <w:top w:val="none" w:sz="0" w:space="0" w:color="auto"/>
            <w:left w:val="none" w:sz="0" w:space="0" w:color="auto"/>
            <w:bottom w:val="none" w:sz="0" w:space="0" w:color="auto"/>
            <w:right w:val="none" w:sz="0" w:space="0" w:color="auto"/>
          </w:divBdr>
          <w:divsChild>
            <w:div w:id="120223605">
              <w:marLeft w:val="0"/>
              <w:marRight w:val="0"/>
              <w:marTop w:val="0"/>
              <w:marBottom w:val="0"/>
              <w:divBdr>
                <w:top w:val="none" w:sz="0" w:space="0" w:color="auto"/>
                <w:left w:val="none" w:sz="0" w:space="0" w:color="auto"/>
                <w:bottom w:val="none" w:sz="0" w:space="0" w:color="auto"/>
                <w:right w:val="none" w:sz="0" w:space="0" w:color="auto"/>
              </w:divBdr>
            </w:div>
            <w:div w:id="1573812668">
              <w:marLeft w:val="0"/>
              <w:marRight w:val="0"/>
              <w:marTop w:val="0"/>
              <w:marBottom w:val="0"/>
              <w:divBdr>
                <w:top w:val="none" w:sz="0" w:space="0" w:color="auto"/>
                <w:left w:val="none" w:sz="0" w:space="0" w:color="auto"/>
                <w:bottom w:val="none" w:sz="0" w:space="0" w:color="auto"/>
                <w:right w:val="none" w:sz="0" w:space="0" w:color="auto"/>
              </w:divBdr>
            </w:div>
          </w:divsChild>
        </w:div>
        <w:div w:id="815338302">
          <w:marLeft w:val="0"/>
          <w:marRight w:val="0"/>
          <w:marTop w:val="0"/>
          <w:marBottom w:val="0"/>
          <w:divBdr>
            <w:top w:val="none" w:sz="0" w:space="0" w:color="auto"/>
            <w:left w:val="none" w:sz="0" w:space="0" w:color="auto"/>
            <w:bottom w:val="none" w:sz="0" w:space="0" w:color="auto"/>
            <w:right w:val="none" w:sz="0" w:space="0" w:color="auto"/>
          </w:divBdr>
          <w:divsChild>
            <w:div w:id="1025519297">
              <w:marLeft w:val="0"/>
              <w:marRight w:val="0"/>
              <w:marTop w:val="0"/>
              <w:marBottom w:val="0"/>
              <w:divBdr>
                <w:top w:val="none" w:sz="0" w:space="0" w:color="auto"/>
                <w:left w:val="none" w:sz="0" w:space="0" w:color="auto"/>
                <w:bottom w:val="none" w:sz="0" w:space="0" w:color="auto"/>
                <w:right w:val="none" w:sz="0" w:space="0" w:color="auto"/>
              </w:divBdr>
            </w:div>
            <w:div w:id="647903074">
              <w:marLeft w:val="0"/>
              <w:marRight w:val="0"/>
              <w:marTop w:val="0"/>
              <w:marBottom w:val="0"/>
              <w:divBdr>
                <w:top w:val="none" w:sz="0" w:space="0" w:color="auto"/>
                <w:left w:val="none" w:sz="0" w:space="0" w:color="auto"/>
                <w:bottom w:val="none" w:sz="0" w:space="0" w:color="auto"/>
                <w:right w:val="none" w:sz="0" w:space="0" w:color="auto"/>
              </w:divBdr>
            </w:div>
          </w:divsChild>
        </w:div>
        <w:div w:id="488524497">
          <w:marLeft w:val="0"/>
          <w:marRight w:val="0"/>
          <w:marTop w:val="0"/>
          <w:marBottom w:val="0"/>
          <w:divBdr>
            <w:top w:val="none" w:sz="0" w:space="0" w:color="auto"/>
            <w:left w:val="none" w:sz="0" w:space="0" w:color="auto"/>
            <w:bottom w:val="none" w:sz="0" w:space="0" w:color="auto"/>
            <w:right w:val="none" w:sz="0" w:space="0" w:color="auto"/>
          </w:divBdr>
          <w:divsChild>
            <w:div w:id="741148881">
              <w:marLeft w:val="0"/>
              <w:marRight w:val="0"/>
              <w:marTop w:val="0"/>
              <w:marBottom w:val="0"/>
              <w:divBdr>
                <w:top w:val="none" w:sz="0" w:space="0" w:color="auto"/>
                <w:left w:val="none" w:sz="0" w:space="0" w:color="auto"/>
                <w:bottom w:val="none" w:sz="0" w:space="0" w:color="auto"/>
                <w:right w:val="none" w:sz="0" w:space="0" w:color="auto"/>
              </w:divBdr>
            </w:div>
            <w:div w:id="833447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3001948">
      <w:bodyDiv w:val="1"/>
      <w:marLeft w:val="0"/>
      <w:marRight w:val="0"/>
      <w:marTop w:val="0"/>
      <w:marBottom w:val="0"/>
      <w:divBdr>
        <w:top w:val="none" w:sz="0" w:space="0" w:color="auto"/>
        <w:left w:val="none" w:sz="0" w:space="0" w:color="auto"/>
        <w:bottom w:val="none" w:sz="0" w:space="0" w:color="auto"/>
        <w:right w:val="none" w:sz="0" w:space="0" w:color="auto"/>
      </w:divBdr>
      <w:divsChild>
        <w:div w:id="1553467520">
          <w:marLeft w:val="0"/>
          <w:marRight w:val="0"/>
          <w:marTop w:val="0"/>
          <w:marBottom w:val="0"/>
          <w:divBdr>
            <w:top w:val="none" w:sz="0" w:space="0" w:color="auto"/>
            <w:left w:val="none" w:sz="0" w:space="0" w:color="auto"/>
            <w:bottom w:val="none" w:sz="0" w:space="0" w:color="auto"/>
            <w:right w:val="none" w:sz="0" w:space="0" w:color="auto"/>
          </w:divBdr>
        </w:div>
        <w:div w:id="1942762203">
          <w:marLeft w:val="0"/>
          <w:marRight w:val="0"/>
          <w:marTop w:val="0"/>
          <w:marBottom w:val="0"/>
          <w:divBdr>
            <w:top w:val="none" w:sz="0" w:space="0" w:color="auto"/>
            <w:left w:val="none" w:sz="0" w:space="0" w:color="auto"/>
            <w:bottom w:val="none" w:sz="0" w:space="0" w:color="auto"/>
            <w:right w:val="none" w:sz="0" w:space="0" w:color="auto"/>
          </w:divBdr>
          <w:divsChild>
            <w:div w:id="393548217">
              <w:marLeft w:val="0"/>
              <w:marRight w:val="0"/>
              <w:marTop w:val="0"/>
              <w:marBottom w:val="0"/>
              <w:divBdr>
                <w:top w:val="none" w:sz="0" w:space="0" w:color="auto"/>
                <w:left w:val="none" w:sz="0" w:space="0" w:color="auto"/>
                <w:bottom w:val="none" w:sz="0" w:space="0" w:color="auto"/>
                <w:right w:val="none" w:sz="0" w:space="0" w:color="auto"/>
              </w:divBdr>
            </w:div>
          </w:divsChild>
        </w:div>
        <w:div w:id="1167096156">
          <w:marLeft w:val="0"/>
          <w:marRight w:val="0"/>
          <w:marTop w:val="0"/>
          <w:marBottom w:val="0"/>
          <w:divBdr>
            <w:top w:val="none" w:sz="0" w:space="0" w:color="auto"/>
            <w:left w:val="none" w:sz="0" w:space="0" w:color="auto"/>
            <w:bottom w:val="none" w:sz="0" w:space="0" w:color="auto"/>
            <w:right w:val="none" w:sz="0" w:space="0" w:color="auto"/>
          </w:divBdr>
          <w:divsChild>
            <w:div w:id="539123644">
              <w:marLeft w:val="0"/>
              <w:marRight w:val="0"/>
              <w:marTop w:val="0"/>
              <w:marBottom w:val="0"/>
              <w:divBdr>
                <w:top w:val="none" w:sz="0" w:space="0" w:color="auto"/>
                <w:left w:val="none" w:sz="0" w:space="0" w:color="auto"/>
                <w:bottom w:val="none" w:sz="0" w:space="0" w:color="auto"/>
                <w:right w:val="none" w:sz="0" w:space="0" w:color="auto"/>
              </w:divBdr>
              <w:divsChild>
                <w:div w:id="578175356">
                  <w:marLeft w:val="0"/>
                  <w:marRight w:val="0"/>
                  <w:marTop w:val="0"/>
                  <w:marBottom w:val="0"/>
                  <w:divBdr>
                    <w:top w:val="none" w:sz="0" w:space="0" w:color="auto"/>
                    <w:left w:val="none" w:sz="0" w:space="0" w:color="auto"/>
                    <w:bottom w:val="none" w:sz="0" w:space="0" w:color="auto"/>
                    <w:right w:val="none" w:sz="0" w:space="0" w:color="auto"/>
                  </w:divBdr>
                  <w:divsChild>
                    <w:div w:id="103890357">
                      <w:marLeft w:val="0"/>
                      <w:marRight w:val="0"/>
                      <w:marTop w:val="120"/>
                      <w:marBottom w:val="0"/>
                      <w:divBdr>
                        <w:top w:val="none" w:sz="0" w:space="0" w:color="auto"/>
                        <w:left w:val="none" w:sz="0" w:space="0" w:color="auto"/>
                        <w:bottom w:val="none" w:sz="0" w:space="0" w:color="auto"/>
                        <w:right w:val="none" w:sz="0" w:space="0" w:color="auto"/>
                      </w:divBdr>
                    </w:div>
                    <w:div w:id="1785690465">
                      <w:marLeft w:val="0"/>
                      <w:marRight w:val="0"/>
                      <w:marTop w:val="0"/>
                      <w:marBottom w:val="0"/>
                      <w:divBdr>
                        <w:top w:val="none" w:sz="0" w:space="0" w:color="auto"/>
                        <w:left w:val="none" w:sz="0" w:space="0" w:color="auto"/>
                        <w:bottom w:val="none" w:sz="0" w:space="0" w:color="auto"/>
                        <w:right w:val="none" w:sz="0" w:space="0" w:color="auto"/>
                      </w:divBdr>
                    </w:div>
                  </w:divsChild>
                </w:div>
                <w:div w:id="1926764028">
                  <w:marLeft w:val="0"/>
                  <w:marRight w:val="0"/>
                  <w:marTop w:val="0"/>
                  <w:marBottom w:val="0"/>
                  <w:divBdr>
                    <w:top w:val="none" w:sz="0" w:space="0" w:color="auto"/>
                    <w:left w:val="none" w:sz="0" w:space="0" w:color="auto"/>
                    <w:bottom w:val="none" w:sz="0" w:space="0" w:color="auto"/>
                    <w:right w:val="none" w:sz="0" w:space="0" w:color="auto"/>
                  </w:divBdr>
                  <w:divsChild>
                    <w:div w:id="1065639815">
                      <w:marLeft w:val="0"/>
                      <w:marRight w:val="0"/>
                      <w:marTop w:val="120"/>
                      <w:marBottom w:val="0"/>
                      <w:divBdr>
                        <w:top w:val="none" w:sz="0" w:space="0" w:color="auto"/>
                        <w:left w:val="none" w:sz="0" w:space="0" w:color="auto"/>
                        <w:bottom w:val="none" w:sz="0" w:space="0" w:color="auto"/>
                        <w:right w:val="none" w:sz="0" w:space="0" w:color="auto"/>
                      </w:divBdr>
                    </w:div>
                    <w:div w:id="1414399500">
                      <w:marLeft w:val="0"/>
                      <w:marRight w:val="0"/>
                      <w:marTop w:val="0"/>
                      <w:marBottom w:val="0"/>
                      <w:divBdr>
                        <w:top w:val="none" w:sz="0" w:space="0" w:color="auto"/>
                        <w:left w:val="none" w:sz="0" w:space="0" w:color="auto"/>
                        <w:bottom w:val="none" w:sz="0" w:space="0" w:color="auto"/>
                        <w:right w:val="none" w:sz="0" w:space="0" w:color="auto"/>
                      </w:divBdr>
                    </w:div>
                  </w:divsChild>
                </w:div>
                <w:div w:id="68581653">
                  <w:marLeft w:val="0"/>
                  <w:marRight w:val="0"/>
                  <w:marTop w:val="0"/>
                  <w:marBottom w:val="0"/>
                  <w:divBdr>
                    <w:top w:val="none" w:sz="0" w:space="0" w:color="auto"/>
                    <w:left w:val="none" w:sz="0" w:space="0" w:color="auto"/>
                    <w:bottom w:val="none" w:sz="0" w:space="0" w:color="auto"/>
                    <w:right w:val="none" w:sz="0" w:space="0" w:color="auto"/>
                  </w:divBdr>
                  <w:divsChild>
                    <w:div w:id="1690181435">
                      <w:marLeft w:val="0"/>
                      <w:marRight w:val="0"/>
                      <w:marTop w:val="120"/>
                      <w:marBottom w:val="0"/>
                      <w:divBdr>
                        <w:top w:val="none" w:sz="0" w:space="0" w:color="auto"/>
                        <w:left w:val="none" w:sz="0" w:space="0" w:color="auto"/>
                        <w:bottom w:val="none" w:sz="0" w:space="0" w:color="auto"/>
                        <w:right w:val="none" w:sz="0" w:space="0" w:color="auto"/>
                      </w:divBdr>
                    </w:div>
                    <w:div w:id="639311884">
                      <w:marLeft w:val="0"/>
                      <w:marRight w:val="0"/>
                      <w:marTop w:val="0"/>
                      <w:marBottom w:val="0"/>
                      <w:divBdr>
                        <w:top w:val="none" w:sz="0" w:space="0" w:color="auto"/>
                        <w:left w:val="none" w:sz="0" w:space="0" w:color="auto"/>
                        <w:bottom w:val="none" w:sz="0" w:space="0" w:color="auto"/>
                        <w:right w:val="none" w:sz="0" w:space="0" w:color="auto"/>
                      </w:divBdr>
                    </w:div>
                  </w:divsChild>
                </w:div>
                <w:div w:id="1856770103">
                  <w:marLeft w:val="0"/>
                  <w:marRight w:val="0"/>
                  <w:marTop w:val="0"/>
                  <w:marBottom w:val="0"/>
                  <w:divBdr>
                    <w:top w:val="none" w:sz="0" w:space="0" w:color="auto"/>
                    <w:left w:val="none" w:sz="0" w:space="0" w:color="auto"/>
                    <w:bottom w:val="none" w:sz="0" w:space="0" w:color="auto"/>
                    <w:right w:val="none" w:sz="0" w:space="0" w:color="auto"/>
                  </w:divBdr>
                  <w:divsChild>
                    <w:div w:id="1436831427">
                      <w:marLeft w:val="0"/>
                      <w:marRight w:val="0"/>
                      <w:marTop w:val="120"/>
                      <w:marBottom w:val="0"/>
                      <w:divBdr>
                        <w:top w:val="none" w:sz="0" w:space="0" w:color="auto"/>
                        <w:left w:val="none" w:sz="0" w:space="0" w:color="auto"/>
                        <w:bottom w:val="none" w:sz="0" w:space="0" w:color="auto"/>
                        <w:right w:val="none" w:sz="0" w:space="0" w:color="auto"/>
                      </w:divBdr>
                    </w:div>
                    <w:div w:id="818035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2699898">
      <w:bodyDiv w:val="1"/>
      <w:marLeft w:val="0"/>
      <w:marRight w:val="0"/>
      <w:marTop w:val="0"/>
      <w:marBottom w:val="0"/>
      <w:divBdr>
        <w:top w:val="none" w:sz="0" w:space="0" w:color="auto"/>
        <w:left w:val="none" w:sz="0" w:space="0" w:color="auto"/>
        <w:bottom w:val="none" w:sz="0" w:space="0" w:color="auto"/>
        <w:right w:val="none" w:sz="0" w:space="0" w:color="auto"/>
      </w:divBdr>
      <w:divsChild>
        <w:div w:id="2121483957">
          <w:marLeft w:val="0"/>
          <w:marRight w:val="0"/>
          <w:marTop w:val="0"/>
          <w:marBottom w:val="0"/>
          <w:divBdr>
            <w:top w:val="none" w:sz="0" w:space="0" w:color="auto"/>
            <w:left w:val="none" w:sz="0" w:space="0" w:color="auto"/>
            <w:bottom w:val="none" w:sz="0" w:space="0" w:color="auto"/>
            <w:right w:val="none" w:sz="0" w:space="0" w:color="auto"/>
          </w:divBdr>
          <w:divsChild>
            <w:div w:id="1696232576">
              <w:marLeft w:val="0"/>
              <w:marRight w:val="0"/>
              <w:marTop w:val="0"/>
              <w:marBottom w:val="0"/>
              <w:divBdr>
                <w:top w:val="none" w:sz="0" w:space="0" w:color="auto"/>
                <w:left w:val="none" w:sz="0" w:space="0" w:color="auto"/>
                <w:bottom w:val="none" w:sz="0" w:space="0" w:color="auto"/>
                <w:right w:val="none" w:sz="0" w:space="0" w:color="auto"/>
              </w:divBdr>
            </w:div>
            <w:div w:id="2031684695">
              <w:marLeft w:val="0"/>
              <w:marRight w:val="0"/>
              <w:marTop w:val="0"/>
              <w:marBottom w:val="0"/>
              <w:divBdr>
                <w:top w:val="none" w:sz="0" w:space="0" w:color="auto"/>
                <w:left w:val="none" w:sz="0" w:space="0" w:color="auto"/>
                <w:bottom w:val="none" w:sz="0" w:space="0" w:color="auto"/>
                <w:right w:val="none" w:sz="0" w:space="0" w:color="auto"/>
              </w:divBdr>
            </w:div>
          </w:divsChild>
        </w:div>
        <w:div w:id="938677545">
          <w:marLeft w:val="0"/>
          <w:marRight w:val="0"/>
          <w:marTop w:val="0"/>
          <w:marBottom w:val="0"/>
          <w:divBdr>
            <w:top w:val="none" w:sz="0" w:space="0" w:color="auto"/>
            <w:left w:val="none" w:sz="0" w:space="0" w:color="auto"/>
            <w:bottom w:val="none" w:sz="0" w:space="0" w:color="auto"/>
            <w:right w:val="none" w:sz="0" w:space="0" w:color="auto"/>
          </w:divBdr>
          <w:divsChild>
            <w:div w:id="952320987">
              <w:marLeft w:val="0"/>
              <w:marRight w:val="0"/>
              <w:marTop w:val="0"/>
              <w:marBottom w:val="0"/>
              <w:divBdr>
                <w:top w:val="none" w:sz="0" w:space="0" w:color="auto"/>
                <w:left w:val="none" w:sz="0" w:space="0" w:color="auto"/>
                <w:bottom w:val="none" w:sz="0" w:space="0" w:color="auto"/>
                <w:right w:val="none" w:sz="0" w:space="0" w:color="auto"/>
              </w:divBdr>
            </w:div>
            <w:div w:id="1033766307">
              <w:marLeft w:val="0"/>
              <w:marRight w:val="0"/>
              <w:marTop w:val="0"/>
              <w:marBottom w:val="0"/>
              <w:divBdr>
                <w:top w:val="none" w:sz="0" w:space="0" w:color="auto"/>
                <w:left w:val="none" w:sz="0" w:space="0" w:color="auto"/>
                <w:bottom w:val="none" w:sz="0" w:space="0" w:color="auto"/>
                <w:right w:val="none" w:sz="0" w:space="0" w:color="auto"/>
              </w:divBdr>
            </w:div>
          </w:divsChild>
        </w:div>
        <w:div w:id="798183966">
          <w:marLeft w:val="0"/>
          <w:marRight w:val="0"/>
          <w:marTop w:val="0"/>
          <w:marBottom w:val="0"/>
          <w:divBdr>
            <w:top w:val="none" w:sz="0" w:space="0" w:color="auto"/>
            <w:left w:val="none" w:sz="0" w:space="0" w:color="auto"/>
            <w:bottom w:val="none" w:sz="0" w:space="0" w:color="auto"/>
            <w:right w:val="none" w:sz="0" w:space="0" w:color="auto"/>
          </w:divBdr>
          <w:divsChild>
            <w:div w:id="1104963022">
              <w:marLeft w:val="0"/>
              <w:marRight w:val="0"/>
              <w:marTop w:val="0"/>
              <w:marBottom w:val="0"/>
              <w:divBdr>
                <w:top w:val="none" w:sz="0" w:space="0" w:color="auto"/>
                <w:left w:val="none" w:sz="0" w:space="0" w:color="auto"/>
                <w:bottom w:val="none" w:sz="0" w:space="0" w:color="auto"/>
                <w:right w:val="none" w:sz="0" w:space="0" w:color="auto"/>
              </w:divBdr>
            </w:div>
            <w:div w:id="662661375">
              <w:marLeft w:val="0"/>
              <w:marRight w:val="0"/>
              <w:marTop w:val="0"/>
              <w:marBottom w:val="0"/>
              <w:divBdr>
                <w:top w:val="none" w:sz="0" w:space="0" w:color="auto"/>
                <w:left w:val="none" w:sz="0" w:space="0" w:color="auto"/>
                <w:bottom w:val="none" w:sz="0" w:space="0" w:color="auto"/>
                <w:right w:val="none" w:sz="0" w:space="0" w:color="auto"/>
              </w:divBdr>
            </w:div>
          </w:divsChild>
        </w:div>
        <w:div w:id="111092731">
          <w:marLeft w:val="0"/>
          <w:marRight w:val="0"/>
          <w:marTop w:val="0"/>
          <w:marBottom w:val="0"/>
          <w:divBdr>
            <w:top w:val="none" w:sz="0" w:space="0" w:color="auto"/>
            <w:left w:val="none" w:sz="0" w:space="0" w:color="auto"/>
            <w:bottom w:val="none" w:sz="0" w:space="0" w:color="auto"/>
            <w:right w:val="none" w:sz="0" w:space="0" w:color="auto"/>
          </w:divBdr>
          <w:divsChild>
            <w:div w:id="1883707457">
              <w:marLeft w:val="0"/>
              <w:marRight w:val="0"/>
              <w:marTop w:val="0"/>
              <w:marBottom w:val="0"/>
              <w:divBdr>
                <w:top w:val="none" w:sz="0" w:space="0" w:color="auto"/>
                <w:left w:val="none" w:sz="0" w:space="0" w:color="auto"/>
                <w:bottom w:val="none" w:sz="0" w:space="0" w:color="auto"/>
                <w:right w:val="none" w:sz="0" w:space="0" w:color="auto"/>
              </w:divBdr>
            </w:div>
            <w:div w:id="285084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39099028">
      <w:bodyDiv w:val="1"/>
      <w:marLeft w:val="0"/>
      <w:marRight w:val="0"/>
      <w:marTop w:val="0"/>
      <w:marBottom w:val="0"/>
      <w:divBdr>
        <w:top w:val="none" w:sz="0" w:space="0" w:color="auto"/>
        <w:left w:val="none" w:sz="0" w:space="0" w:color="auto"/>
        <w:bottom w:val="none" w:sz="0" w:space="0" w:color="auto"/>
        <w:right w:val="none" w:sz="0" w:space="0" w:color="auto"/>
      </w:divBdr>
      <w:divsChild>
        <w:div w:id="1783694763">
          <w:marLeft w:val="0"/>
          <w:marRight w:val="0"/>
          <w:marTop w:val="0"/>
          <w:marBottom w:val="0"/>
          <w:divBdr>
            <w:top w:val="none" w:sz="0" w:space="0" w:color="auto"/>
            <w:left w:val="none" w:sz="0" w:space="0" w:color="auto"/>
            <w:bottom w:val="none" w:sz="0" w:space="0" w:color="auto"/>
            <w:right w:val="none" w:sz="0" w:space="0" w:color="auto"/>
          </w:divBdr>
          <w:divsChild>
            <w:div w:id="1056779241">
              <w:marLeft w:val="0"/>
              <w:marRight w:val="0"/>
              <w:marTop w:val="0"/>
              <w:marBottom w:val="0"/>
              <w:divBdr>
                <w:top w:val="none" w:sz="0" w:space="0" w:color="auto"/>
                <w:left w:val="none" w:sz="0" w:space="0" w:color="auto"/>
                <w:bottom w:val="none" w:sz="0" w:space="0" w:color="auto"/>
                <w:right w:val="none" w:sz="0" w:space="0" w:color="auto"/>
              </w:divBdr>
            </w:div>
            <w:div w:id="562958069">
              <w:marLeft w:val="0"/>
              <w:marRight w:val="0"/>
              <w:marTop w:val="0"/>
              <w:marBottom w:val="0"/>
              <w:divBdr>
                <w:top w:val="none" w:sz="0" w:space="0" w:color="auto"/>
                <w:left w:val="none" w:sz="0" w:space="0" w:color="auto"/>
                <w:bottom w:val="none" w:sz="0" w:space="0" w:color="auto"/>
                <w:right w:val="none" w:sz="0" w:space="0" w:color="auto"/>
              </w:divBdr>
            </w:div>
          </w:divsChild>
        </w:div>
        <w:div w:id="1352881253">
          <w:marLeft w:val="0"/>
          <w:marRight w:val="0"/>
          <w:marTop w:val="0"/>
          <w:marBottom w:val="0"/>
          <w:divBdr>
            <w:top w:val="none" w:sz="0" w:space="0" w:color="auto"/>
            <w:left w:val="none" w:sz="0" w:space="0" w:color="auto"/>
            <w:bottom w:val="none" w:sz="0" w:space="0" w:color="auto"/>
            <w:right w:val="none" w:sz="0" w:space="0" w:color="auto"/>
          </w:divBdr>
          <w:divsChild>
            <w:div w:id="58553619">
              <w:marLeft w:val="0"/>
              <w:marRight w:val="0"/>
              <w:marTop w:val="0"/>
              <w:marBottom w:val="0"/>
              <w:divBdr>
                <w:top w:val="none" w:sz="0" w:space="0" w:color="auto"/>
                <w:left w:val="none" w:sz="0" w:space="0" w:color="auto"/>
                <w:bottom w:val="none" w:sz="0" w:space="0" w:color="auto"/>
                <w:right w:val="none" w:sz="0" w:space="0" w:color="auto"/>
              </w:divBdr>
            </w:div>
            <w:div w:id="157617025">
              <w:marLeft w:val="0"/>
              <w:marRight w:val="0"/>
              <w:marTop w:val="0"/>
              <w:marBottom w:val="0"/>
              <w:divBdr>
                <w:top w:val="none" w:sz="0" w:space="0" w:color="auto"/>
                <w:left w:val="none" w:sz="0" w:space="0" w:color="auto"/>
                <w:bottom w:val="none" w:sz="0" w:space="0" w:color="auto"/>
                <w:right w:val="none" w:sz="0" w:space="0" w:color="auto"/>
              </w:divBdr>
            </w:div>
          </w:divsChild>
        </w:div>
        <w:div w:id="1080981678">
          <w:marLeft w:val="0"/>
          <w:marRight w:val="0"/>
          <w:marTop w:val="0"/>
          <w:marBottom w:val="0"/>
          <w:divBdr>
            <w:top w:val="none" w:sz="0" w:space="0" w:color="auto"/>
            <w:left w:val="none" w:sz="0" w:space="0" w:color="auto"/>
            <w:bottom w:val="none" w:sz="0" w:space="0" w:color="auto"/>
            <w:right w:val="none" w:sz="0" w:space="0" w:color="auto"/>
          </w:divBdr>
          <w:divsChild>
            <w:div w:id="924262215">
              <w:marLeft w:val="0"/>
              <w:marRight w:val="0"/>
              <w:marTop w:val="0"/>
              <w:marBottom w:val="0"/>
              <w:divBdr>
                <w:top w:val="none" w:sz="0" w:space="0" w:color="auto"/>
                <w:left w:val="none" w:sz="0" w:space="0" w:color="auto"/>
                <w:bottom w:val="none" w:sz="0" w:space="0" w:color="auto"/>
                <w:right w:val="none" w:sz="0" w:space="0" w:color="auto"/>
              </w:divBdr>
            </w:div>
            <w:div w:id="2016229421">
              <w:marLeft w:val="0"/>
              <w:marRight w:val="0"/>
              <w:marTop w:val="0"/>
              <w:marBottom w:val="0"/>
              <w:divBdr>
                <w:top w:val="none" w:sz="0" w:space="0" w:color="auto"/>
                <w:left w:val="none" w:sz="0" w:space="0" w:color="auto"/>
                <w:bottom w:val="none" w:sz="0" w:space="0" w:color="auto"/>
                <w:right w:val="none" w:sz="0" w:space="0" w:color="auto"/>
              </w:divBdr>
            </w:div>
          </w:divsChild>
        </w:div>
        <w:div w:id="1029991908">
          <w:marLeft w:val="0"/>
          <w:marRight w:val="0"/>
          <w:marTop w:val="0"/>
          <w:marBottom w:val="0"/>
          <w:divBdr>
            <w:top w:val="none" w:sz="0" w:space="0" w:color="auto"/>
            <w:left w:val="none" w:sz="0" w:space="0" w:color="auto"/>
            <w:bottom w:val="none" w:sz="0" w:space="0" w:color="auto"/>
            <w:right w:val="none" w:sz="0" w:space="0" w:color="auto"/>
          </w:divBdr>
          <w:divsChild>
            <w:div w:id="1319115630">
              <w:marLeft w:val="0"/>
              <w:marRight w:val="0"/>
              <w:marTop w:val="0"/>
              <w:marBottom w:val="0"/>
              <w:divBdr>
                <w:top w:val="none" w:sz="0" w:space="0" w:color="auto"/>
                <w:left w:val="none" w:sz="0" w:space="0" w:color="auto"/>
                <w:bottom w:val="none" w:sz="0" w:space="0" w:color="auto"/>
                <w:right w:val="none" w:sz="0" w:space="0" w:color="auto"/>
              </w:divBdr>
            </w:div>
            <w:div w:id="1445151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eiopa.europa.eu/document/download/7d70ed01-2505-4989-913d-0516709ce70e_en?filename=EIOPA-BoS-23-341-Advice_IORPII_review.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eur-lex.europa.eu/legal-content/EN/TXT/?uri=CELEX%3A02016L2341-20250117"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eiopa.europa.eu/document/download/7d70ed01-2505-4989-913d-0516709ce70e_en?filename=EIOPA-BoS-23-341-Advice_IORPII_review.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920</TotalTime>
  <Pages>114</Pages>
  <Words>23677</Words>
  <Characters>134964</Characters>
  <Application>Microsoft Office Word</Application>
  <DocSecurity>0</DocSecurity>
  <Lines>1124</Lines>
  <Paragraphs>316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Sousa Dantas, Cristina</cp:lastModifiedBy>
  <cp:revision>193</cp:revision>
  <cp:lastPrinted>2025-03-21T00:14:00Z</cp:lastPrinted>
  <dcterms:created xsi:type="dcterms:W3CDTF">2025-06-19T14:31:00Z</dcterms:created>
  <dcterms:modified xsi:type="dcterms:W3CDTF">2025-07-16T15:18:00Z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